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0"/>
        <w:rPr>
          <w:rFonts w:hint="eastAsia" w:eastAsia="黑体"/>
          <w:b/>
          <w:bCs/>
          <w:sz w:val="84"/>
        </w:rPr>
      </w:pPr>
      <w:r>
        <w:rPr>
          <w:rFonts w:hint="eastAsia" w:eastAsia="黑体"/>
          <w:b/>
          <w:bCs/>
          <w:sz w:val="84"/>
        </w:rPr>
      </w:r>
      <w:r/>
    </w:p>
    <w:p>
      <w:pPr>
        <w:pStyle w:val="1071"/>
        <w:ind w:firstLine="0"/>
        <w:jc w:val="center"/>
        <w:rPr>
          <w:rFonts w:hint="eastAsia" w:eastAsia="黑体"/>
          <w:b/>
          <w:bCs/>
          <w:sz w:val="84"/>
        </w:rPr>
      </w:pPr>
      <w:r>
        <w:rPr>
          <w:rFonts w:hint="eastAsia" w:eastAsia="黑体"/>
          <w:b/>
          <w:bCs/>
          <w:sz w:val="84"/>
        </w:rPr>
        <w:t xml:space="preserve">招　标　文　件</w:t>
      </w:r>
      <w:r/>
    </w:p>
    <w:p>
      <w:pPr>
        <w:pStyle w:val="982"/>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982"/>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982"/>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常州市2026-2028年度城乡居民大病保险项目</w:t>
      </w:r>
      <w:r>
        <w:rPr>
          <w:rFonts w:hint="eastAsia" w:ascii="等线" w:hAnsi="等线" w:eastAsia="等线" w:cs="等线"/>
          <w:bCs/>
          <w:sz w:val="36"/>
          <w:szCs w:val="36"/>
          <w:lang w:bidi="ar"/>
        </w:rPr>
      </w:r>
      <w:r/>
    </w:p>
    <w:p>
      <w:pPr>
        <w:pStyle w:val="982"/>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JSZC-320400-JZCG-G2025-0504</w:t>
      </w:r>
      <w:r>
        <w:rPr>
          <w:rFonts w:hint="eastAsia" w:ascii="宋体" w:hAnsi="宋体"/>
          <w:sz w:val="32"/>
          <w:szCs w:val="32"/>
        </w:rPr>
      </w:r>
      <w:r/>
    </w:p>
    <w:p>
      <w:pPr>
        <w:pStyle w:val="1071"/>
        <w:ind w:firstLine="0"/>
        <w:spacing w:before="0" w:after="0"/>
        <w:rPr>
          <w:rFonts w:hint="eastAsia" w:ascii="宋体" w:hAnsi="宋体"/>
        </w:rPr>
      </w:pPr>
      <w:r>
        <w:rPr>
          <w:rFonts w:hint="eastAsia" w:ascii="宋体" w:hAnsi="宋体"/>
        </w:rPr>
      </w:r>
      <w:r/>
    </w:p>
    <w:p>
      <w:pPr>
        <w:pStyle w:val="1071"/>
        <w:ind w:firstLine="0"/>
        <w:spacing w:before="0" w:after="0"/>
        <w:rPr>
          <w:rFonts w:hint="eastAsia" w:ascii="宋体" w:hAnsi="宋体"/>
        </w:rPr>
      </w:pPr>
      <w:r>
        <w:rPr>
          <w:rFonts w:hint="eastAsia" w:ascii="宋体" w:hAnsi="宋体"/>
        </w:rPr>
      </w:r>
      <w:r/>
    </w:p>
    <w:p>
      <w:pPr>
        <w:pStyle w:val="1071"/>
        <w:ind w:firstLine="0"/>
        <w:spacing w:before="0" w:after="0"/>
        <w:rPr>
          <w:rFonts w:hint="eastAsia" w:ascii="宋体" w:hAnsi="宋体"/>
        </w:rPr>
      </w:pPr>
      <w:r>
        <w:rPr>
          <w:rFonts w:hint="eastAsia" w:ascii="宋体" w:hAnsi="宋体"/>
        </w:rPr>
      </w:r>
      <w:r/>
    </w:p>
    <w:p>
      <w:pPr>
        <w:pStyle w:val="1071"/>
        <w:ind w:firstLine="0"/>
        <w:spacing w:before="0" w:after="0"/>
        <w:rPr>
          <w:rFonts w:hint="eastAsia" w:ascii="宋体" w:hAnsi="宋体"/>
        </w:rPr>
      </w:pPr>
      <w:r>
        <w:rPr>
          <w:rFonts w:hint="eastAsia" w:ascii="宋体" w:hAnsi="宋体"/>
        </w:rPr>
      </w:r>
      <w:r/>
    </w:p>
    <w:p>
      <w:pPr>
        <w:pStyle w:val="1071"/>
        <w:ind w:firstLine="0"/>
        <w:spacing w:before="0" w:after="0"/>
        <w:rPr>
          <w:rFonts w:ascii="宋体" w:hAnsi="宋体"/>
        </w:rPr>
      </w:pPr>
      <w:r>
        <w:rPr>
          <w:rFonts w:ascii="宋体" w:hAnsi="宋体"/>
        </w:rPr>
      </w:r>
      <w:r/>
    </w:p>
    <w:p>
      <w:pPr>
        <w:pStyle w:val="1071"/>
        <w:ind w:firstLine="0"/>
        <w:spacing w:before="0" w:after="0"/>
        <w:rPr>
          <w:rFonts w:hint="eastAsia" w:ascii="宋体" w:hAnsi="宋体"/>
        </w:rPr>
      </w:pPr>
      <w:r>
        <w:rPr>
          <w:rFonts w:hint="eastAsia" w:ascii="宋体" w:hAnsi="宋体"/>
        </w:rPr>
      </w:r>
      <w:r/>
    </w:p>
    <w:p>
      <w:pPr>
        <w:pStyle w:val="1071"/>
        <w:ind w:firstLine="0"/>
        <w:spacing w:before="0" w:after="0"/>
        <w:rPr>
          <w:rFonts w:hint="eastAsia" w:ascii="宋体" w:hAnsi="宋体"/>
        </w:rPr>
      </w:pPr>
      <w:r>
        <w:rPr>
          <w:rFonts w:hint="eastAsia" w:ascii="宋体" w:hAnsi="宋体"/>
        </w:rPr>
      </w:r>
      <w:r/>
    </w:p>
    <w:p>
      <w:pPr>
        <w:pStyle w:val="1045"/>
        <w:spacing w:before="0" w:beforeAutospacing="0" w:after="0" w:afterAutospacing="0" w:line="360" w:lineRule="auto"/>
        <w:widowControl w:val="off"/>
      </w:pPr>
      <w:r/>
      <w:r/>
    </w:p>
    <w:p>
      <w:pPr>
        <w:pStyle w:val="1045"/>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1045"/>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2025年11月20日</w:t>
      </w:r>
      <w:r>
        <w:rPr>
          <w:rFonts w:ascii="等线" w:hAnsi="等线" w:eastAsia="等线" w:cs="等线"/>
          <w:bCs/>
          <w:sz w:val="36"/>
          <w:szCs w:val="36"/>
          <w:lang w:bidi="ar"/>
        </w:rPr>
      </w:r>
      <w:r/>
    </w:p>
    <w:p>
      <w:pPr>
        <w:pStyle w:val="1071"/>
        <w:ind w:firstLine="0"/>
        <w:rPr>
          <w:rFonts w:hint="eastAsia"/>
          <w:u w:val="single"/>
        </w:rPr>
      </w:pPr>
      <w:r>
        <w:rPr>
          <w:rFonts w:hint="eastAsia"/>
        </w:rPr>
        <w:t xml:space="preserve">                        </w:t>
      </w:r>
      <w:r>
        <w:rPr>
          <w:rFonts w:hint="eastAsia"/>
          <w:u w:val="single"/>
        </w:rPr>
      </w:r>
      <w:r/>
    </w:p>
    <w:p>
      <w:pPr>
        <w:pStyle w:val="1071"/>
        <w:ind w:firstLine="0"/>
        <w:jc w:val="center"/>
        <w:rPr>
          <w:rFonts w:hint="eastAsia"/>
        </w:rPr>
      </w:pPr>
      <w:r>
        <w:rPr>
          <w:rFonts w:hint="eastAsia"/>
        </w:rPr>
      </w:r>
      <w:r/>
    </w:p>
    <w:p>
      <w:pPr>
        <w:pStyle w:val="982"/>
        <w:jc w:val="center"/>
        <w:spacing w:line="480" w:lineRule="auto"/>
        <w:rPr>
          <w:rFonts w:hint="eastAsia" w:ascii="黑体" w:hAnsi="Arial" w:eastAsia="黑体"/>
          <w:b/>
          <w:sz w:val="44"/>
        </w:rPr>
      </w:pPr>
      <w: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sz w:val="44"/>
        </w:rPr>
        <w:t xml:space="preserve">总  目  录</w:t>
      </w:r>
      <w:r/>
    </w:p>
    <w:p>
      <w:pPr>
        <w:pStyle w:val="1034"/>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1059"/>
        </w:rPr>
        <w:fldChar w:fldCharType="begin"/>
      </w:r>
      <w:r>
        <w:rPr>
          <w:rStyle w:val="1059"/>
        </w:rPr>
        <w:instrText xml:space="preserve"> </w:instrText>
      </w:r>
      <w:r>
        <w:instrText xml:space="preserve">HYPERLINK \l "_Toc173761689"</w:instrText>
      </w:r>
      <w:r>
        <w:rPr>
          <w:rStyle w:val="1059"/>
        </w:rPr>
        <w:instrText xml:space="preserve"> </w:instrText>
      </w:r>
      <w:r>
        <w:rPr>
          <w:rStyle w:val="1059"/>
        </w:rPr>
        <w:fldChar w:fldCharType="separate"/>
      </w:r>
      <w:r>
        <w:rPr>
          <w:rStyle w:val="1059"/>
          <w:rFonts w:ascii="黑体" w:eastAsia="黑体"/>
        </w:rPr>
        <w:t xml:space="preserve">第一章  投标邀请</w:t>
      </w:r>
      <w:r>
        <w:tab/>
      </w:r>
      <w:r>
        <w:fldChar w:fldCharType="begin"/>
      </w:r>
      <w:r>
        <w:instrText xml:space="preserve"> PAGEREF _Toc173761689 \h </w:instrText>
      </w:r>
      <w:r>
        <w:fldChar w:fldCharType="separate"/>
      </w:r>
      <w:r>
        <w:t xml:space="preserve">1</w:t>
      </w:r>
      <w:r>
        <w:fldChar w:fldCharType="end"/>
      </w:r>
      <w:r>
        <w:rPr>
          <w:rStyle w:val="1059"/>
        </w:rPr>
        <w:fldChar w:fldCharType="end"/>
      </w:r>
      <w:r>
        <w:rPr>
          <w:rFonts w:ascii="等线" w:hAnsi="等线" w:eastAsia="等线"/>
          <w:caps w:val="0"/>
          <w:sz w:val="21"/>
          <w:szCs w:val="22"/>
          <w:lang w:val="en-US" w:eastAsia="zh-CN"/>
        </w:rPr>
      </w:r>
      <w:r/>
    </w:p>
    <w:p>
      <w:pPr>
        <w:pStyle w:val="1034"/>
        <w:rPr>
          <w:rFonts w:ascii="等线" w:hAnsi="等线" w:eastAsia="等线"/>
          <w:caps w:val="0"/>
          <w:sz w:val="21"/>
          <w:szCs w:val="22"/>
          <w:lang w:val="en-US" w:eastAsia="zh-CN"/>
        </w:rPr>
      </w:pPr>
      <w:r>
        <w:rPr>
          <w:rStyle w:val="1059"/>
        </w:rPr>
        <w:fldChar w:fldCharType="begin"/>
      </w:r>
      <w:r>
        <w:rPr>
          <w:rStyle w:val="1059"/>
        </w:rPr>
        <w:instrText xml:space="preserve"> </w:instrText>
      </w:r>
      <w:r>
        <w:instrText xml:space="preserve">HYPERLINK \l "</w:instrText>
      </w:r>
      <w:r>
        <w:instrText xml:space="preserve">_Toc173761690"</w:instrText>
      </w:r>
      <w:r>
        <w:rPr>
          <w:rStyle w:val="1059"/>
        </w:rPr>
        <w:instrText xml:space="preserve"> </w:instrText>
      </w:r>
      <w:r>
        <w:rPr>
          <w:rStyle w:val="1059"/>
        </w:rPr>
        <w:fldChar w:fldCharType="separate"/>
      </w:r>
      <w:r>
        <w:rPr>
          <w:rStyle w:val="1059"/>
          <w:rFonts w:ascii="黑体" w:eastAsia="黑体"/>
          <w:bCs/>
        </w:rPr>
        <w:t xml:space="preserve">第二章  投标人须知</w:t>
      </w:r>
      <w:r>
        <w:tab/>
      </w:r>
      <w:r>
        <w:fldChar w:fldCharType="begin"/>
      </w:r>
      <w:r>
        <w:instrText xml:space="preserve"> PAGEREF _Toc173761690 \h </w:instrText>
      </w:r>
      <w:r>
        <w:fldChar w:fldCharType="separate"/>
      </w:r>
      <w:r>
        <w:t xml:space="preserve">5</w:t>
      </w:r>
      <w:r>
        <w:fldChar w:fldCharType="end"/>
      </w:r>
      <w:r>
        <w:rPr>
          <w:rStyle w:val="1059"/>
        </w:rPr>
        <w:fldChar w:fldCharType="end"/>
      </w:r>
      <w:r>
        <w:rPr>
          <w:rFonts w:ascii="等线" w:hAnsi="等线" w:eastAsia="等线"/>
          <w:caps w:val="0"/>
          <w:sz w:val="21"/>
          <w:szCs w:val="22"/>
          <w:lang w:val="en-US" w:eastAsia="zh-CN"/>
        </w:rPr>
      </w:r>
      <w:r/>
    </w:p>
    <w:p>
      <w:pPr>
        <w:pStyle w:val="1034"/>
        <w:rPr>
          <w:rFonts w:ascii="等线" w:hAnsi="等线" w:eastAsia="等线"/>
          <w:caps w:val="0"/>
          <w:sz w:val="21"/>
          <w:szCs w:val="22"/>
          <w:lang w:val="en-US" w:eastAsia="zh-CN"/>
        </w:rPr>
      </w:pPr>
      <w:r>
        <w:rPr>
          <w:rStyle w:val="1059"/>
        </w:rPr>
        <w:fldChar w:fldCharType="begin"/>
      </w:r>
      <w:r>
        <w:rPr>
          <w:rStyle w:val="1059"/>
        </w:rPr>
        <w:instrText xml:space="preserve"> </w:instrText>
      </w:r>
      <w:r>
        <w:instrText xml:space="preserve">HYPERLINK \l "_Toc173761691"</w:instrText>
      </w:r>
      <w:r>
        <w:rPr>
          <w:rStyle w:val="1059"/>
        </w:rPr>
        <w:instrText xml:space="preserve"> </w:instrText>
      </w:r>
      <w:r>
        <w:rPr>
          <w:rStyle w:val="1059"/>
        </w:rPr>
        <w:fldChar w:fldCharType="separate"/>
      </w:r>
      <w:r>
        <w:rPr>
          <w:rStyle w:val="1059"/>
          <w:rFonts w:ascii="黑体" w:eastAsia="黑体"/>
          <w:bCs/>
        </w:rPr>
        <w:t xml:space="preserve">第三章  合同文本</w:t>
      </w:r>
      <w:r>
        <w:tab/>
      </w:r>
      <w:r>
        <w:fldChar w:fldCharType="begin"/>
      </w:r>
      <w:r>
        <w:instrText xml:space="preserve"> PAGEREF _Toc173761691 \h </w:instrText>
      </w:r>
      <w:r>
        <w:fldChar w:fldCharType="separate"/>
      </w:r>
      <w:r>
        <w:t xml:space="preserve">20</w:t>
      </w:r>
      <w:r>
        <w:fldChar w:fldCharType="end"/>
      </w:r>
      <w:r>
        <w:rPr>
          <w:rStyle w:val="1059"/>
        </w:rPr>
        <w:fldChar w:fldCharType="end"/>
      </w:r>
      <w:r>
        <w:rPr>
          <w:rFonts w:ascii="等线" w:hAnsi="等线" w:eastAsia="等线"/>
          <w:caps w:val="0"/>
          <w:sz w:val="21"/>
          <w:szCs w:val="22"/>
          <w:lang w:val="en-US" w:eastAsia="zh-CN"/>
        </w:rPr>
      </w:r>
      <w:r/>
    </w:p>
    <w:p>
      <w:pPr>
        <w:pStyle w:val="1034"/>
        <w:rPr>
          <w:rFonts w:ascii="等线" w:hAnsi="等线" w:eastAsia="等线"/>
          <w:caps w:val="0"/>
          <w:sz w:val="21"/>
          <w:szCs w:val="22"/>
          <w:lang w:val="en-US" w:eastAsia="zh-CN"/>
        </w:rPr>
      </w:pPr>
      <w:r>
        <w:rPr>
          <w:rStyle w:val="1059"/>
        </w:rPr>
        <w:fldChar w:fldCharType="begin"/>
      </w:r>
      <w:r>
        <w:rPr>
          <w:rStyle w:val="1059"/>
        </w:rPr>
        <w:instrText xml:space="preserve"> </w:instrText>
      </w:r>
      <w:r>
        <w:instrText xml:space="preserve">HYPERLINK \l "_Toc173761692"</w:instrText>
      </w:r>
      <w:r>
        <w:rPr>
          <w:rStyle w:val="1059"/>
        </w:rPr>
        <w:instrText xml:space="preserve"> </w:instrText>
      </w:r>
      <w:r>
        <w:rPr>
          <w:rStyle w:val="1059"/>
        </w:rPr>
        <w:fldChar w:fldCharType="separate"/>
      </w:r>
      <w:r>
        <w:rPr>
          <w:rStyle w:val="1059"/>
          <w:rFonts w:ascii="黑体" w:eastAsia="黑体"/>
        </w:rPr>
        <w:t xml:space="preserve">第四章  采购需求</w:t>
      </w:r>
      <w:r>
        <w:tab/>
      </w:r>
      <w:r>
        <w:fldChar w:fldCharType="begin"/>
      </w:r>
      <w:r>
        <w:instrText xml:space="preserve"> PAGEREF _Toc173761692 \h </w:instrText>
      </w:r>
      <w:r>
        <w:fldChar w:fldCharType="separate"/>
      </w:r>
      <w:r>
        <w:t xml:space="preserve">23</w:t>
      </w:r>
      <w:r>
        <w:fldChar w:fldCharType="end"/>
      </w:r>
      <w:r>
        <w:rPr>
          <w:rStyle w:val="1059"/>
        </w:rPr>
        <w:fldChar w:fldCharType="end"/>
      </w:r>
      <w:r>
        <w:rPr>
          <w:rFonts w:ascii="等线" w:hAnsi="等线" w:eastAsia="等线"/>
          <w:caps w:val="0"/>
          <w:sz w:val="21"/>
          <w:szCs w:val="22"/>
          <w:lang w:val="en-US" w:eastAsia="zh-CN"/>
        </w:rPr>
      </w:r>
      <w:r/>
    </w:p>
    <w:p>
      <w:pPr>
        <w:pStyle w:val="1034"/>
        <w:rPr>
          <w:rFonts w:ascii="等线" w:hAnsi="等线" w:eastAsia="等线"/>
          <w:caps w:val="0"/>
          <w:sz w:val="21"/>
          <w:szCs w:val="22"/>
          <w:lang w:val="en-US" w:eastAsia="zh-CN"/>
        </w:rPr>
      </w:pPr>
      <w:r>
        <w:rPr>
          <w:rStyle w:val="1059"/>
        </w:rPr>
        <w:fldChar w:fldCharType="begin"/>
      </w:r>
      <w:r>
        <w:rPr>
          <w:rStyle w:val="1059"/>
        </w:rPr>
        <w:instrText xml:space="preserve"> </w:instrText>
      </w:r>
      <w:r>
        <w:instrText xml:space="preserve">HYPERLINK \l "_Toc173761693"</w:instrText>
      </w:r>
      <w:r>
        <w:rPr>
          <w:rStyle w:val="1059"/>
        </w:rPr>
        <w:instrText xml:space="preserve"> </w:instrText>
      </w:r>
      <w:r>
        <w:rPr>
          <w:rStyle w:val="1059"/>
        </w:rPr>
        <w:fldChar w:fldCharType="separate"/>
      </w:r>
      <w:r>
        <w:rPr>
          <w:rStyle w:val="1059"/>
          <w:rFonts w:ascii="黑体" w:eastAsia="黑体"/>
          <w:bCs/>
        </w:rPr>
        <w:t xml:space="preserve">第五章  评标方法与评标标准</w:t>
      </w:r>
      <w:r>
        <w:tab/>
      </w:r>
      <w:r>
        <w:fldChar w:fldCharType="begin"/>
      </w:r>
      <w:r>
        <w:instrText xml:space="preserve"> PAGEREF _Toc173761693 \h </w:instrText>
      </w:r>
      <w:r>
        <w:fldChar w:fldCharType="separate"/>
      </w:r>
      <w:r>
        <w:t xml:space="preserve">34</w:t>
      </w:r>
      <w:r>
        <w:fldChar w:fldCharType="end"/>
      </w:r>
      <w:r>
        <w:rPr>
          <w:rStyle w:val="1059"/>
        </w:rPr>
        <w:fldChar w:fldCharType="end"/>
      </w:r>
      <w:r>
        <w:rPr>
          <w:rFonts w:ascii="等线" w:hAnsi="等线" w:eastAsia="等线"/>
          <w:caps w:val="0"/>
          <w:sz w:val="21"/>
          <w:szCs w:val="22"/>
          <w:lang w:val="en-US" w:eastAsia="zh-CN"/>
        </w:rPr>
      </w:r>
      <w:r/>
    </w:p>
    <w:p>
      <w:pPr>
        <w:pStyle w:val="1034"/>
        <w:rPr>
          <w:rFonts w:ascii="等线" w:hAnsi="等线" w:eastAsia="等线"/>
          <w:caps w:val="0"/>
          <w:sz w:val="21"/>
          <w:szCs w:val="22"/>
          <w:lang w:val="en-US" w:eastAsia="zh-CN"/>
        </w:rPr>
      </w:pPr>
      <w:r>
        <w:rPr>
          <w:rStyle w:val="1059"/>
        </w:rPr>
        <w:fldChar w:fldCharType="begin"/>
      </w:r>
      <w:r>
        <w:rPr>
          <w:rStyle w:val="1059"/>
        </w:rPr>
        <w:instrText xml:space="preserve"> </w:instrText>
      </w:r>
      <w:r>
        <w:instrText xml:space="preserve">HYPERLINK \l "_Toc173761694"</w:instrText>
      </w:r>
      <w:r>
        <w:rPr>
          <w:rStyle w:val="1059"/>
        </w:rPr>
        <w:instrText xml:space="preserve"> </w:instrText>
      </w:r>
      <w:r>
        <w:rPr>
          <w:rStyle w:val="1059"/>
        </w:rPr>
        <w:fldChar w:fldCharType="separate"/>
      </w:r>
      <w:r>
        <w:rPr>
          <w:rStyle w:val="1059"/>
          <w:rFonts w:ascii="黑体" w:eastAsia="黑体"/>
          <w:bCs/>
        </w:rPr>
        <w:t xml:space="preserve">第六章  投标文件格式</w:t>
      </w:r>
      <w:r>
        <w:tab/>
      </w:r>
      <w:r>
        <w:fldChar w:fldCharType="begin"/>
      </w:r>
      <w:r>
        <w:instrText xml:space="preserve"> PAGEREF _Toc173761694 \h </w:instrText>
      </w:r>
      <w:r>
        <w:fldChar w:fldCharType="separate"/>
      </w:r>
      <w:r>
        <w:t xml:space="preserve">39</w:t>
      </w:r>
      <w:r>
        <w:fldChar w:fldCharType="end"/>
      </w:r>
      <w:r>
        <w:rPr>
          <w:rStyle w:val="1059"/>
        </w:rPr>
        <w:fldChar w:fldCharType="end"/>
      </w:r>
      <w:r>
        <w:rPr>
          <w:rFonts w:ascii="等线" w:hAnsi="等线" w:eastAsia="等线"/>
          <w:caps w:val="0"/>
          <w:sz w:val="21"/>
          <w:szCs w:val="22"/>
          <w:lang w:val="en-US" w:eastAsia="zh-CN"/>
        </w:rPr>
      </w:r>
      <w:r/>
    </w:p>
    <w:p>
      <w:pPr>
        <w:pStyle w:val="982"/>
        <w:jc w:val="center"/>
        <w:spacing w:line="480" w:lineRule="auto"/>
        <w:rPr>
          <w:rFonts w:hint="eastAsia"/>
        </w:rPr>
        <w:outlineLvl w:val="0"/>
      </w:pPr>
      <w:r>
        <w:rPr>
          <w:rFonts w:ascii="仿宋_GB2312" w:hAnsi="Arial" w:eastAsia="仿宋_GB2312"/>
        </w:rPr>
        <w:fldChar w:fldCharType="end"/>
      </w: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p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黑体" w:eastAsia="黑体"/>
          <w:sz w:val="44"/>
          <w:szCs w:val="44"/>
        </w:rPr>
      </w:r>
      <w:r/>
    </w:p>
    <w:p>
      <w:pPr>
        <w:pStyle w:val="983"/>
        <w:rPr>
          <w:rFonts w:hint="eastAsia"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982"/>
        <w:ind w:firstLine="480"/>
        <w:rPr>
          <w:rFonts w:ascii="等线" w:hAnsi="等线" w:eastAsia="等线"/>
          <w:sz w:val="24"/>
          <w:szCs w:val="24"/>
        </w:rPr>
      </w:pPr>
      <w:r/>
      <w:bookmarkStart w:id="7" w:name="_Toc35393621"/>
      <w:r/>
      <w:bookmarkStart w:id="8" w:name="_Toc35393790"/>
      <w:r/>
      <w:bookmarkStart w:id="9" w:name="_Toc28359079"/>
      <w:r/>
      <w:bookmarkStart w:id="10" w:name="_Toc28359002"/>
      <w:r/>
      <w:bookmarkStart w:id="11" w:name="_Toc38985263"/>
      <w:r/>
      <w:bookmarkStart w:id="12"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常州市医疗保障管理服务中心</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项目名称：常州市2026-2028年度城乡居民大病保险项目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JSZC-320400-JZCG-G2025-0504</w:t>
      </w:r>
      <w:r>
        <w:rPr>
          <w:rFonts w:hint="eastAsia" w:ascii="等线" w:hAnsi="等线" w:eastAsia="等线"/>
          <w:sz w:val="24"/>
          <w:szCs w:val="24"/>
        </w:rPr>
        <w:t xml:space="preserve">)项目进行公开招标采购，</w:t>
      </w:r>
      <w:r>
        <w:rPr>
          <w:rFonts w:hint="eastAsia" w:ascii="等线" w:hAnsi="等线" w:eastAsia="等线"/>
          <w:sz w:val="24"/>
          <w:szCs w:val="24"/>
        </w:rPr>
        <w:t xml:space="preserve">欢迎符合条件的供应商投标。</w:t>
      </w:r>
      <w:r>
        <w:rPr>
          <w:rFonts w:ascii="等线" w:hAnsi="等线" w:eastAsia="等线"/>
          <w:sz w:val="24"/>
          <w:szCs w:val="24"/>
        </w:rPr>
      </w:r>
      <w:r/>
    </w:p>
    <w:p>
      <w:pPr>
        <w:pStyle w:val="985"/>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pStyle w:val="982"/>
        <w:ind w:firstLine="480"/>
        <w:rPr>
          <w:rFonts w:ascii="等线" w:hAnsi="等线" w:eastAsia="等线"/>
          <w:sz w:val="24"/>
          <w:szCs w:val="24"/>
        </w:rPr>
      </w:pPr>
      <w:r/>
      <w:bookmarkEnd w:id="12"/>
      <w:r/>
      <w:bookmarkStart w:id="13" w:name="_Toc28359003"/>
      <w:r/>
      <w:bookmarkStart w:id="14" w:name="_Toc35393791"/>
      <w:r/>
      <w:bookmarkStart w:id="15" w:name="_Toc28359080"/>
      <w:r/>
      <w:bookmarkStart w:id="16" w:name="_Toc38985264"/>
      <w:r/>
      <w:bookmarkStart w:id="17" w:name="_Toc35393622"/>
      <w:r>
        <w:rPr>
          <w:rFonts w:hint="eastAsia" w:ascii="等线" w:hAnsi="等线" w:eastAsia="等线"/>
          <w:sz w:val="24"/>
          <w:szCs w:val="24"/>
        </w:rPr>
        <w:t xml:space="preserve">1.项目编号：</w:t>
      </w:r>
      <w:r>
        <w:rPr>
          <w:rFonts w:ascii="等线" w:hAnsi="等线" w:eastAsia="等线"/>
          <w:sz w:val="24"/>
          <w:szCs w:val="24"/>
        </w:rPr>
        <w:t xml:space="preserve">JSZC-320400-JZCG-G2025-0504</w:t>
      </w:r>
      <w:r/>
    </w:p>
    <w:p>
      <w:pPr>
        <w:pStyle w:val="982"/>
        <w:ind w:firstLine="480"/>
        <w:rPr>
          <w:rFonts w:ascii="等线" w:hAnsi="等线" w:eastAsia="等线"/>
          <w:sz w:val="24"/>
          <w:szCs w:val="24"/>
        </w:rPr>
      </w:pPr>
      <w:r>
        <w:rPr>
          <w:rFonts w:hint="eastAsia" w:ascii="等线" w:hAnsi="等线" w:eastAsia="等线"/>
          <w:sz w:val="24"/>
          <w:szCs w:val="24"/>
        </w:rPr>
        <w:t xml:space="preserve">2.项目名称：常州市2026-2028年度城乡居民大病保险项目</w:t>
      </w:r>
      <w:r>
        <w:rPr>
          <w:rFonts w:ascii="等线" w:hAnsi="等线" w:eastAsia="等线"/>
          <w:sz w:val="24"/>
          <w:szCs w:val="24"/>
        </w:rPr>
      </w:r>
      <w:r/>
    </w:p>
    <w:p>
      <w:pPr>
        <w:pStyle w:val="982"/>
        <w:ind w:firstLine="480"/>
        <w:rPr>
          <w:rFonts w:hint="eastAsia" w:ascii="等线" w:hAnsi="等线" w:eastAsia="等线"/>
          <w:sz w:val="24"/>
          <w:szCs w:val="24"/>
        </w:rPr>
      </w:pPr>
      <w:r>
        <w:rPr>
          <w:rFonts w:hint="eastAsia" w:ascii="等线" w:hAnsi="等线" w:eastAsia="等线"/>
          <w:sz w:val="24"/>
          <w:szCs w:val="24"/>
        </w:rPr>
        <w:t xml:space="preserve">3.预算金额：分包1：22794.77万元；分包2：10802.4971万元；分包3：8106.0426万元；分包4：5832.1253万元；分包5：3891.79万元；分包6：1945.895万元；分包7：1111.94万元；分包8：1111.94万元。</w:t>
      </w:r>
      <w:r/>
    </w:p>
    <w:p>
      <w:pPr>
        <w:pStyle w:val="982"/>
        <w:ind w:firstLine="480"/>
        <w:rPr>
          <w:rFonts w:ascii="等线" w:hAnsi="等线" w:eastAsia="等线"/>
          <w:sz w:val="24"/>
          <w:szCs w:val="24"/>
          <w:u w:val="single"/>
        </w:rPr>
      </w:pPr>
      <w:r>
        <w:rPr>
          <w:rFonts w:hint="eastAsia" w:ascii="等线" w:hAnsi="等线" w:eastAsia="等线"/>
          <w:sz w:val="24"/>
          <w:szCs w:val="24"/>
        </w:rPr>
        <w:t xml:space="preserve">4.采购需求（简介）：大病保险，是在职工和城乡居民基本医疗保险制度基础上，对经基本医疗保险保障后个人自付医疗费用仍然达到一定</w:t>
      </w:r>
      <w:r>
        <w:rPr>
          <w:rFonts w:hint="eastAsia" w:ascii="等线" w:hAnsi="等线" w:eastAsia="等线"/>
          <w:sz w:val="24"/>
          <w:szCs w:val="24"/>
        </w:rPr>
        <w:t xml:space="preserve">水平的符合条件的患者给予进一步保障的一项制度性安排，是基本医保的拓展和延伸。通过大病保险，促进政府主导与市场机制作用有效结合，建立健全多层次医疗保障体系，进一步减轻参保人员医疗费用</w:t>
      </w:r>
      <w:r>
        <w:rPr>
          <w:rFonts w:hint="eastAsia" w:ascii="等线" w:hAnsi="等线" w:eastAsia="等线"/>
          <w:sz w:val="24"/>
          <w:szCs w:val="24"/>
        </w:rPr>
        <w:t xml:space="preserve">负担，有效解决群众因病致贫、因病返贫问题。此次将通过公开招标方式确定2026年1月1日至2028年12月31日承办常州市大病保险服务的商业保险机构。</w:t>
      </w:r>
      <w:r>
        <w:rPr>
          <w:rFonts w:hint="eastAsia" w:ascii="等线" w:hAnsi="等线" w:eastAsia="等线" w:cs="宋体"/>
          <w:sz w:val="24"/>
          <w:szCs w:val="24"/>
        </w:rPr>
        <w:t xml:space="preserve">（详细内容见本招标文件第四章）</w:t>
      </w:r>
      <w:r>
        <w:rPr>
          <w:rFonts w:ascii="等线" w:hAnsi="等线" w:eastAsia="等线"/>
          <w:sz w:val="24"/>
          <w:szCs w:val="24"/>
          <w:u w:val="single"/>
        </w:rPr>
      </w:r>
      <w:r/>
    </w:p>
    <w:p>
      <w:pPr>
        <w:pStyle w:val="982"/>
        <w:ind w:firstLine="480"/>
        <w:rPr>
          <w:rFonts w:ascii="等线" w:hAnsi="等线" w:eastAsia="等线"/>
          <w:sz w:val="24"/>
          <w:szCs w:val="24"/>
          <w:u w:val="single"/>
        </w:rPr>
      </w:pPr>
      <w:r>
        <w:rPr>
          <w:rFonts w:hint="eastAsia" w:ascii="等线" w:hAnsi="等线" w:eastAsia="等线"/>
          <w:sz w:val="24"/>
          <w:szCs w:val="24"/>
        </w:rPr>
        <w:t xml:space="preserve">5.合同履行期限：2026年1月1日至2028年12月31日</w:t>
      </w:r>
      <w:r>
        <w:rPr>
          <w:rFonts w:ascii="等线" w:hAnsi="等线" w:eastAsia="等线"/>
          <w:sz w:val="24"/>
          <w:szCs w:val="24"/>
          <w:u w:val="single"/>
        </w:rPr>
      </w:r>
      <w:r/>
    </w:p>
    <w:p>
      <w:pPr>
        <w:pStyle w:val="985"/>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pStyle w:val="982"/>
        <w:ind w:firstLine="480"/>
        <w:rPr>
          <w:rFonts w:hint="eastAsia" w:ascii="等线" w:hAnsi="等线" w:eastAsia="等线"/>
          <w:sz w:val="24"/>
          <w:szCs w:val="24"/>
        </w:rPr>
      </w:pPr>
      <w:r/>
      <w:bookmarkStart w:id="18" w:name="_Toc28359081"/>
      <w:r/>
      <w:bookmarkStart w:id="19" w:name="_Toc35393792"/>
      <w:r/>
      <w:bookmarkStart w:id="20" w:name="_Toc38985265"/>
      <w:r/>
      <w:bookmarkStart w:id="21" w:name="_Toc35393623"/>
      <w:r/>
      <w:bookmarkStart w:id="22" w:name="_Toc28359004"/>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982"/>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982"/>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982"/>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rPr>
          <w:rFonts w:ascii="等线" w:hAnsi="等线" w:eastAsia="等线" w:cs="宋体"/>
          <w:sz w:val="24"/>
          <w:szCs w:val="24"/>
        </w:rPr>
      </w:r>
      <w:r/>
    </w:p>
    <w:p>
      <w:pPr>
        <w:pStyle w:val="982"/>
        <w:ind w:firstLine="480"/>
        <w:spacing w:line="360" w:lineRule="auto"/>
        <w:rPr>
          <w:rFonts w:ascii="等线" w:hAnsi="等线" w:eastAsia="等线"/>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sz w:val="24"/>
          <w:szCs w:val="24"/>
        </w:rPr>
      </w:r>
      <w:r/>
    </w:p>
    <w:p>
      <w:pPr>
        <w:pStyle w:val="982"/>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5.本项目</w:t>
      </w:r>
      <w:r>
        <w:rPr>
          <w:rFonts w:hint="eastAsia" w:ascii="等线" w:hAnsi="等线" w:eastAsia="等线"/>
          <w:sz w:val="24"/>
          <w:szCs w:val="24"/>
          <w:u w:val="single"/>
        </w:rPr>
        <w:t xml:space="preserve">接受</w:t>
      </w:r>
      <w:r>
        <w:rPr>
          <w:rFonts w:hint="eastAsia" w:ascii="等线" w:hAnsi="等线" w:eastAsia="等线"/>
          <w:sz w:val="24"/>
          <w:szCs w:val="24"/>
        </w:rPr>
        <w:t xml:space="preserve">分支机构参与投标。</w:t>
      </w:r>
      <w:r>
        <w:rPr>
          <w:rFonts w:hint="eastAsia" w:ascii="等线" w:hAnsi="等线" w:eastAsia="等线" w:cs="宋体"/>
          <w:sz w:val="24"/>
          <w:szCs w:val="24"/>
        </w:rPr>
      </w:r>
      <w:r/>
    </w:p>
    <w:p>
      <w:pPr>
        <w:pStyle w:val="982"/>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982"/>
        <w:ind w:firstLine="480"/>
        <w:rPr>
          <w:rFonts w:hint="eastAsia" w:ascii="等线" w:hAnsi="等线" w:eastAsia="等线"/>
          <w:sz w:val="24"/>
          <w:szCs w:val="24"/>
        </w:rPr>
      </w:pPr>
      <w:r>
        <w:rPr>
          <w:rFonts w:hint="eastAsia" w:ascii="等线" w:hAnsi="等线" w:eastAsia="等线"/>
          <w:sz w:val="24"/>
          <w:szCs w:val="24"/>
        </w:rPr>
        <w:t xml:space="preserve">（1）投标人或投标人所属省级公司必须在中国银行保险监</w:t>
      </w:r>
      <w:r>
        <w:rPr>
          <w:rFonts w:hint="eastAsia" w:ascii="等线" w:hAnsi="等线" w:eastAsia="等线"/>
          <w:sz w:val="24"/>
          <w:szCs w:val="24"/>
        </w:rPr>
        <w:t xml:space="preserve">督管理委员会江苏监管局公示的大病保险经营资质名单中；</w:t>
      </w:r>
      <w:r/>
    </w:p>
    <w:p>
      <w:pPr>
        <w:pStyle w:val="982"/>
        <w:ind w:firstLine="480"/>
        <w:rPr>
          <w:rFonts w:hint="eastAsia" w:ascii="等线" w:hAnsi="等线" w:eastAsia="等线" w:cs="宋体"/>
          <w:sz w:val="24"/>
          <w:szCs w:val="24"/>
        </w:rPr>
      </w:pPr>
      <w:r>
        <w:rPr>
          <w:rFonts w:hint="eastAsia" w:ascii="等线" w:hAnsi="等线" w:eastAsia="等线"/>
          <w:sz w:val="24"/>
          <w:szCs w:val="24"/>
        </w:rPr>
        <w:t xml:space="preserve">（2）</w:t>
      </w:r>
      <w:r>
        <w:rPr>
          <w:rFonts w:hint="eastAsia" w:ascii="等线" w:hAnsi="等线" w:eastAsia="等线"/>
          <w:sz w:val="24"/>
          <w:szCs w:val="24"/>
        </w:rPr>
        <w:t xml:space="preserve">同一保险集团公司参与同一分包的子公司仅限一家</w:t>
      </w:r>
      <w:r>
        <w:rPr>
          <w:rFonts w:hint="eastAsia" w:ascii="等线" w:hAnsi="等线" w:eastAsia="等线"/>
          <w:sz w:val="24"/>
          <w:szCs w:val="24"/>
        </w:rPr>
        <w:t xml:space="preserve">；</w:t>
      </w:r>
      <w:r>
        <w:rPr>
          <w:rFonts w:hint="eastAsia" w:ascii="等线" w:hAnsi="等线" w:eastAsia="等线" w:cs="宋体"/>
          <w:sz w:val="24"/>
          <w:szCs w:val="24"/>
        </w:rPr>
      </w:r>
      <w:r/>
    </w:p>
    <w:p>
      <w:pPr>
        <w:pStyle w:val="982"/>
        <w:ind w:firstLine="480"/>
        <w:rPr>
          <w:rFonts w:hint="eastAsia"/>
        </w:rPr>
      </w:pPr>
      <w:r>
        <w:rPr>
          <w:rFonts w:hint="eastAsia" w:ascii="等线" w:hAnsi="等线" w:eastAsia="等线"/>
          <w:sz w:val="24"/>
          <w:szCs w:val="24"/>
        </w:rPr>
        <w:t xml:space="preserve">（3）</w:t>
      </w:r>
      <w:r>
        <w:rPr>
          <w:rFonts w:hint="eastAsia" w:ascii="等线" w:hAnsi="等线" w:eastAsia="等线"/>
          <w:sz w:val="24"/>
          <w:szCs w:val="24"/>
        </w:rPr>
        <w:t xml:space="preserve">同一保险总公司仅能授权其一家地市级及以上分支机构参与</w:t>
      </w:r>
      <w:r>
        <w:rPr>
          <w:rFonts w:hint="eastAsia" w:ascii="等线" w:hAnsi="等线" w:eastAsia="等线"/>
          <w:sz w:val="24"/>
          <w:szCs w:val="24"/>
        </w:rPr>
        <w:t xml:space="preserve">，</w:t>
      </w:r>
      <w:r>
        <w:rPr>
          <w:rFonts w:hint="eastAsia" w:ascii="等线" w:hAnsi="等线" w:eastAsia="等线"/>
          <w:sz w:val="24"/>
          <w:szCs w:val="24"/>
        </w:rPr>
        <w:t xml:space="preserve">须提供总公司的法人企业授权书。</w:t>
      </w:r>
      <w:r>
        <w:rPr>
          <w:rFonts w:hint="eastAsia"/>
        </w:rPr>
      </w:r>
      <w:r/>
    </w:p>
    <w:p>
      <w:pPr>
        <w:pStyle w:val="985"/>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82"/>
        <w:ind w:firstLine="540"/>
        <w:spacing w:line="360" w:lineRule="auto"/>
        <w:rPr>
          <w:rFonts w:ascii="等线" w:hAnsi="等线" w:eastAsia="等线" w:cs="宋体"/>
          <w:sz w:val="24"/>
          <w:szCs w:val="24"/>
        </w:rPr>
      </w:pPr>
      <w:r/>
      <w:bookmarkStart w:id="23" w:name="_Toc35393794"/>
      <w:r/>
      <w:bookmarkStart w:id="24" w:name="_Toc28359084"/>
      <w:r/>
      <w:bookmarkStart w:id="25" w:name="_Toc38985267"/>
      <w:r/>
      <w:bookmarkStart w:id="26" w:name="_Toc28359007"/>
      <w:r/>
      <w:bookmarkStart w:id="27" w:name="_Toc35393625"/>
      <w:r/>
      <w:bookmarkStart w:id="28" w:name="_Toc38985266"/>
      <w:r/>
      <w:bookmarkStart w:id="29" w:name="_Toc28359005"/>
      <w:r/>
      <w:bookmarkStart w:id="30" w:name="_Toc28359082"/>
      <w:r/>
      <w:bookmarkStart w:id="31" w:name="_Toc35393793"/>
      <w:r/>
      <w:bookmarkStart w:id="32" w:name="_Toc35393624"/>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982"/>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985"/>
        <w:ind w:firstLine="498"/>
        <w:spacing w:before="156" w:after="156" w:line="360" w:lineRule="auto"/>
      </w:pPr>
      <w:r/>
      <w:bookmarkEnd w:id="28"/>
      <w:r/>
      <w:bookmarkEnd w:id="29"/>
      <w:r/>
      <w:bookmarkEnd w:id="30"/>
      <w:r/>
      <w:bookmarkEnd w:id="31"/>
      <w:r/>
      <w:bookmarkEnd w:id="32"/>
      <w:r>
        <w:rPr>
          <w:rFonts w:hint="eastAsia"/>
        </w:rPr>
        <w:t xml:space="preserve">四、投标文件提交</w:t>
      </w:r>
      <w:r/>
    </w:p>
    <w:p>
      <w:pPr>
        <w:pStyle w:val="98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pStyle w:val="98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985"/>
        <w:ind w:firstLine="498"/>
        <w:spacing w:before="156" w:after="156" w:line="360" w:lineRule="auto"/>
      </w:pPr>
      <w:r>
        <w:rPr>
          <w:rFonts w:hint="eastAsia"/>
        </w:rPr>
        <w:t xml:space="preserve">五、公告期限</w:t>
      </w:r>
      <w:bookmarkEnd w:id="23"/>
      <w:r/>
      <w:bookmarkEnd w:id="24"/>
      <w:r/>
      <w:bookmarkEnd w:id="25"/>
      <w:r/>
      <w:bookmarkEnd w:id="26"/>
      <w:r/>
      <w:bookmarkEnd w:id="27"/>
      <w:r/>
      <w:r/>
    </w:p>
    <w:p>
      <w:pPr>
        <w:pStyle w:val="982"/>
        <w:ind w:firstLine="480"/>
        <w:rPr>
          <w:rFonts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985"/>
        <w:ind w:firstLine="498"/>
        <w:spacing w:before="156" w:after="156" w:line="360" w:lineRule="auto"/>
      </w:pPr>
      <w:r>
        <w:rPr>
          <w:rFonts w:hint="eastAsia"/>
        </w:rPr>
        <w:t xml:space="preserve">六、其他补充</w:t>
      </w:r>
      <w:r>
        <w:rPr>
          <w:rFonts w:hint="eastAsia"/>
        </w:rPr>
        <w:t xml:space="preserve">事宜</w:t>
      </w:r>
      <w:bookmarkEnd w:id="33"/>
      <w:r/>
      <w:bookmarkEnd w:id="34"/>
      <w:r/>
      <w:bookmarkEnd w:id="35"/>
      <w:r/>
      <w:r/>
    </w:p>
    <w:p>
      <w:pPr>
        <w:pStyle w:val="982"/>
        <w:ind w:firstLine="480"/>
        <w:rPr>
          <w:rFonts w:ascii="等线" w:hAnsi="等线" w:eastAsia="等线" w:cs="宋体"/>
          <w:sz w:val="24"/>
          <w:szCs w:val="24"/>
        </w:rPr>
      </w:pPr>
      <w:r/>
      <w:bookmarkStart w:id="36" w:name="_Toc38985269"/>
      <w:r/>
      <w:bookmarkStart w:id="37" w:name="_Toc35393627"/>
      <w:r/>
      <w:bookmarkStart w:id="38" w:name="_Toc35393796"/>
      <w:r/>
      <w:bookmarkStart w:id="39" w:name="_Toc28359008"/>
      <w:r/>
      <w:bookmarkStart w:id="40" w:name="_Toc28359085"/>
      <w:r>
        <w:rPr>
          <w:rFonts w:hint="eastAsia" w:ascii="等线" w:hAnsi="等线" w:eastAsia="等线" w:cs="宋体"/>
          <w:sz w:val="24"/>
          <w:szCs w:val="24"/>
        </w:rPr>
        <w:t xml:space="preserve">无</w:t>
      </w:r>
      <w:r>
        <w:rPr>
          <w:rFonts w:ascii="等线" w:hAnsi="等线" w:eastAsia="等线" w:cs="宋体"/>
          <w:sz w:val="24"/>
          <w:szCs w:val="24"/>
        </w:rPr>
      </w:r>
      <w:r/>
    </w:p>
    <w:p>
      <w:pPr>
        <w:pStyle w:val="985"/>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pStyle w:val="982"/>
        <w:ind w:firstLine="720"/>
        <w:spacing w:line="360" w:lineRule="auto"/>
        <w:rPr>
          <w:rFonts w:ascii="等线" w:hAnsi="等线" w:eastAsia="等线"/>
          <w:sz w:val="24"/>
          <w:szCs w:val="24"/>
        </w:rPr>
      </w:pPr>
      <w:r/>
      <w:bookmarkStart w:id="41" w:name="_Toc28359087"/>
      <w:r/>
      <w:bookmarkStart w:id="42" w:name="_Toc28359010"/>
      <w:r>
        <w:rPr>
          <w:rFonts w:hint="eastAsia" w:ascii="等线" w:hAnsi="等线" w:eastAsia="等线" w:cs="宋体"/>
          <w:sz w:val="24"/>
          <w:szCs w:val="24"/>
        </w:rPr>
        <w:t xml:space="preserve">1.采购人信息</w:t>
      </w:r>
      <w:r>
        <w:rPr>
          <w:rFonts w:ascii="等线" w:hAnsi="等线" w:eastAsia="等线"/>
          <w:sz w:val="24"/>
          <w:szCs w:val="24"/>
        </w:rPr>
      </w:r>
      <w:r/>
    </w:p>
    <w:p>
      <w:pPr>
        <w:pStyle w:val="982"/>
        <w:ind w:left="1079" w:hanging="300"/>
        <w:jc w:val="left"/>
        <w:spacing w:line="360" w:lineRule="auto"/>
        <w:rPr>
          <w:rFonts w:ascii="等线" w:hAnsi="等线" w:eastAsia="等线"/>
          <w:sz w:val="24"/>
          <w:szCs w:val="24"/>
        </w:rPr>
      </w:pPr>
      <w:r>
        <w:rPr>
          <w:rFonts w:hint="eastAsia" w:ascii="等线" w:hAnsi="等线" w:eastAsia="等线"/>
          <w:sz w:val="24"/>
          <w:szCs w:val="24"/>
        </w:rPr>
        <w:t xml:space="preserve">名 称：常州市医疗保障管理服务中心</w:t>
      </w:r>
      <w:r>
        <w:rPr>
          <w:rFonts w:ascii="等线" w:hAnsi="等线" w:eastAsia="等线"/>
          <w:sz w:val="24"/>
          <w:szCs w:val="24"/>
        </w:rPr>
      </w:r>
      <w:r/>
    </w:p>
    <w:p>
      <w:pPr>
        <w:pStyle w:val="982"/>
        <w:ind w:left="1079" w:hanging="300"/>
        <w:jc w:val="left"/>
        <w:spacing w:line="360" w:lineRule="auto"/>
        <w:rPr>
          <w:rFonts w:ascii="等线" w:hAnsi="等线" w:eastAsia="等线"/>
          <w:sz w:val="24"/>
          <w:szCs w:val="24"/>
        </w:rPr>
      </w:pPr>
      <w:r>
        <w:rPr>
          <w:rFonts w:hint="eastAsia" w:ascii="等线" w:hAnsi="等线" w:eastAsia="等线"/>
          <w:sz w:val="24"/>
          <w:szCs w:val="24"/>
        </w:rPr>
        <w:t xml:space="preserve">地址：常州市锦绣路2号1-2号楼606</w:t>
      </w:r>
      <w:r>
        <w:rPr>
          <w:rFonts w:ascii="等线" w:hAnsi="等线" w:eastAsia="等线"/>
          <w:sz w:val="24"/>
          <w:szCs w:val="24"/>
        </w:rPr>
      </w:r>
      <w:r/>
    </w:p>
    <w:p>
      <w:pPr>
        <w:pStyle w:val="982"/>
        <w:ind w:left="1079" w:hanging="300"/>
        <w:jc w:val="left"/>
        <w:spacing w:line="360" w:lineRule="auto"/>
        <w:rPr>
          <w:rFonts w:ascii="等线" w:hAnsi="等线" w:eastAsia="等线"/>
          <w:sz w:val="24"/>
          <w:szCs w:val="24"/>
        </w:rPr>
      </w:pPr>
      <w:r>
        <w:rPr>
          <w:rFonts w:hint="eastAsia" w:ascii="等线" w:hAnsi="等线" w:eastAsia="等线"/>
          <w:sz w:val="24"/>
          <w:szCs w:val="24"/>
        </w:rPr>
        <w:t xml:space="preserve">联系人：尤女士</w:t>
      </w:r>
      <w:r>
        <w:rPr>
          <w:rFonts w:ascii="等线" w:hAnsi="等线" w:eastAsia="等线"/>
          <w:sz w:val="24"/>
          <w:szCs w:val="24"/>
        </w:rPr>
      </w:r>
      <w:r/>
    </w:p>
    <w:p>
      <w:pPr>
        <w:pStyle w:val="982"/>
        <w:ind w:left="1079" w:hanging="300"/>
        <w:jc w:val="left"/>
        <w:spacing w:line="360" w:lineRule="auto"/>
        <w:rPr>
          <w:rFonts w:ascii="等线" w:hAnsi="等线" w:eastAsia="等线"/>
          <w:sz w:val="24"/>
          <w:szCs w:val="24"/>
          <w:u w:val="single"/>
        </w:rPr>
      </w:pPr>
      <w:r>
        <w:rPr>
          <w:rFonts w:hint="eastAsia" w:ascii="等线" w:hAnsi="等线" w:eastAsia="等线"/>
          <w:sz w:val="24"/>
          <w:szCs w:val="24"/>
        </w:rPr>
        <w:t xml:space="preserve">联系方式：0519-</w:t>
      </w:r>
      <w:r>
        <w:rPr>
          <w:rFonts w:ascii="等线" w:hAnsi="等线" w:eastAsia="等线"/>
          <w:sz w:val="24"/>
          <w:szCs w:val="24"/>
        </w:rPr>
        <w:t xml:space="preserve">86190531</w:t>
      </w:r>
      <w:bookmarkStart w:id="43" w:name="_Toc28359086"/>
      <w:r/>
      <w:bookmarkStart w:id="44" w:name="_Toc28359009"/>
      <w:r>
        <w:rPr>
          <w:rFonts w:ascii="等线" w:hAnsi="等线" w:eastAsia="等线"/>
          <w:sz w:val="24"/>
          <w:szCs w:val="24"/>
          <w:u w:val="single"/>
        </w:rPr>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pStyle w:val="98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982"/>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985"/>
        <w:ind w:firstLine="498"/>
        <w:spacing w:before="156" w:after="156" w:line="360" w:lineRule="auto"/>
      </w:pPr>
      <w:r/>
      <w:bookmarkEnd w:id="41"/>
      <w:r/>
      <w:bookmarkEnd w:id="42"/>
      <w:r/>
      <w:bookmarkEnd w:id="43"/>
      <w:r/>
      <w:bookmarkEnd w:id="44"/>
      <w:r>
        <w:rPr>
          <w:rFonts w:hint="eastAsia"/>
        </w:rPr>
        <w:t xml:space="preserve">八、其他</w:t>
      </w:r>
      <w:r/>
    </w:p>
    <w:p>
      <w:pPr>
        <w:pStyle w:val="982"/>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w:t>
      </w:r>
      <w:r>
        <w:rPr>
          <w:rFonts w:hint="eastAsia" w:ascii="等线" w:hAnsi="等线" w:eastAsia="等线"/>
          <w:bCs/>
          <w:sz w:val="24"/>
          <w:szCs w:val="24"/>
        </w:rPr>
        <w:t xml:space="preserve">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w:t>
      </w:r>
      <w:r>
        <w:rPr>
          <w:rFonts w:hint="eastAsia" w:ascii="等线" w:hAnsi="等线" w:eastAsia="等线"/>
          <w:bCs/>
          <w:sz w:val="24"/>
          <w:szCs w:val="24"/>
        </w:rPr>
        <w:t xml:space="preserve">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pStyle w:val="982"/>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w:t>
      </w:r>
      <w:r>
        <w:rPr>
          <w:rFonts w:hint="eastAsia" w:ascii="等线" w:hAnsi="等线" w:eastAsia="等线"/>
          <w:bCs/>
          <w:sz w:val="24"/>
          <w:szCs w:val="24"/>
        </w:rPr>
        <w:t xml:space="preserve">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sz w:val="24"/>
          <w:szCs w:val="24"/>
        </w:rPr>
      </w:r>
      <w:r/>
    </w:p>
    <w:p>
      <w:pPr>
        <w:pStyle w:val="982"/>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pStyle w:val="982"/>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pStyle w:val="982"/>
        <w:ind w:firstLine="480"/>
        <w:spacing w:line="560" w:lineRule="exact"/>
        <w:rPr>
          <w:rFonts w:hint="eastAsia" w:ascii="宋体" w:hAnsi="宋体"/>
          <w:sz w:val="24"/>
        </w:rPr>
      </w:pPr>
      <w:r>
        <w:rPr>
          <w:rFonts w:hint="eastAsia" w:ascii="宋体" w:hAnsi="宋体"/>
          <w:sz w:val="24"/>
        </w:rPr>
      </w:r>
      <w:r/>
    </w:p>
    <w:p>
      <w:pPr>
        <w:pStyle w:val="98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83"/>
        <w:rPr>
          <w:rFonts w:hint="eastAsia" w:ascii="黑体" w:eastAsia="黑体"/>
          <w:bCs/>
          <w:sz w:val="44"/>
        </w:rPr>
      </w:pPr>
      <w:r/>
      <w:bookmarkStart w:id="45" w:name="_Toc120614211"/>
      <w:r/>
      <w:bookmarkStart w:id="46" w:name="_Toc173761690"/>
      <w:r>
        <w:rPr>
          <w:rFonts w:hint="eastAsia" w:ascii="黑体" w:eastAsia="黑体"/>
          <w:bCs/>
          <w:sz w:val="44"/>
        </w:rPr>
        <w:t xml:space="preserve">第二章  </w:t>
      </w:r>
      <w:bookmarkEnd w:id="1"/>
      <w:r/>
      <w:bookmarkEnd w:id="2"/>
      <w:r/>
      <w:bookmarkEnd w:id="3"/>
      <w:r/>
      <w:bookmarkEnd w:id="4"/>
      <w:r/>
      <w:bookmarkEnd w:id="5"/>
      <w:r/>
      <w:bookmarkEnd w:id="45"/>
      <w:r/>
      <w:bookmarkStart w:id="47" w:name="_Toc120614213"/>
      <w:r/>
      <w:bookmarkStart w:id="48" w:name="_Toc16938518"/>
      <w:r/>
      <w:bookmarkStart w:id="49" w:name="_Toc20823274"/>
      <w:r/>
      <w:bookmarkStart w:id="50" w:name="_Toc513029202"/>
      <w:r>
        <w:rPr>
          <w:rFonts w:hint="eastAsia" w:ascii="黑体" w:eastAsia="黑体"/>
          <w:bCs/>
          <w:sz w:val="44"/>
        </w:rPr>
        <w:t xml:space="preserve">投标人须知</w:t>
      </w:r>
      <w:bookmarkEnd w:id="46"/>
      <w:r/>
      <w:bookmarkEnd w:id="47"/>
      <w:r/>
      <w:bookmarkEnd w:id="48"/>
      <w:r/>
      <w:bookmarkEnd w:id="49"/>
      <w:r/>
      <w:bookmarkEnd w:id="50"/>
      <w:r>
        <w:rPr>
          <w:rFonts w:hint="eastAsia" w:ascii="黑体" w:eastAsia="黑体"/>
          <w:bCs/>
          <w:sz w:val="44"/>
        </w:rPr>
      </w:r>
      <w:r/>
    </w:p>
    <w:p>
      <w:pPr>
        <w:pStyle w:val="985"/>
        <w:ind w:firstLine="498"/>
        <w:spacing w:before="156" w:after="156" w:line="360" w:lineRule="auto"/>
        <w:rPr>
          <w:rFonts w:hint="eastAsia"/>
        </w:rPr>
      </w:pPr>
      <w:r/>
      <w:bookmarkStart w:id="51" w:name="_Toc513029203"/>
      <w:r/>
      <w:bookmarkStart w:id="52" w:name="_Toc120614214"/>
      <w:r/>
      <w:bookmarkStart w:id="53" w:name="_Toc20823275"/>
      <w:r/>
      <w:bookmarkStart w:id="54" w:name="_Toc16938519"/>
      <w:r>
        <w:rPr>
          <w:rFonts w:hint="eastAsia"/>
        </w:rPr>
        <w:t xml:space="preserve">一、总则</w:t>
      </w:r>
      <w:bookmarkEnd w:id="51"/>
      <w:r/>
      <w:bookmarkEnd w:id="52"/>
      <w:r/>
      <w:bookmarkEnd w:id="53"/>
      <w:r/>
      <w:bookmarkEnd w:id="54"/>
      <w:r>
        <w:rPr>
          <w:rFonts w:hint="eastAsia"/>
        </w:rPr>
      </w:r>
      <w:r/>
    </w:p>
    <w:p>
      <w:pPr>
        <w:pStyle w:val="986"/>
        <w:ind w:firstLine="420"/>
        <w:spacing w:before="0" w:after="0" w:line="240" w:lineRule="auto"/>
        <w:rPr>
          <w:rFonts w:hint="eastAsia"/>
          <w:b w:val="0"/>
          <w:bCs w:val="0"/>
        </w:rPr>
      </w:pPr>
      <w:r/>
      <w:bookmarkStart w:id="55" w:name="_Hlt16619475"/>
      <w:r/>
      <w:bookmarkEnd w:id="55"/>
      <w:r/>
      <w:bookmarkStart w:id="56" w:name="_Toc458694821"/>
      <w:r/>
      <w:bookmarkStart w:id="57" w:name="_Toc513029204"/>
      <w:r/>
      <w:bookmarkStart w:id="58" w:name="_Toc20823276"/>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86"/>
        <w:ind w:firstLine="420"/>
        <w:spacing w:before="0" w:after="0" w:line="240" w:lineRule="auto"/>
        <w:rPr>
          <w:rFonts w:hint="eastAsia"/>
          <w:b w:val="0"/>
          <w:bCs w:val="0"/>
        </w:rPr>
      </w:pPr>
      <w:r/>
      <w:bookmarkStart w:id="60" w:name="_Toc513029205"/>
      <w:r/>
      <w:bookmarkStart w:id="61" w:name="_Toc16938521"/>
      <w:r/>
      <w:bookmarkStart w:id="62" w:name="_Toc20823277"/>
      <w:r>
        <w:rPr>
          <w:rFonts w:hint="eastAsia"/>
          <w:b w:val="0"/>
          <w:bCs w:val="0"/>
        </w:rPr>
        <w:t xml:space="preserve">2、合格的投标人</w:t>
      </w:r>
      <w:bookmarkEnd w:id="60"/>
      <w:r/>
      <w:bookmarkEnd w:id="61"/>
      <w:r/>
      <w:bookmarkEnd w:id="62"/>
      <w:r>
        <w:rPr>
          <w:rFonts w:hint="eastAsia"/>
          <w:b w:val="0"/>
          <w:bCs w:val="0"/>
        </w:rPr>
      </w:r>
      <w:r/>
    </w:p>
    <w:p>
      <w:pPr>
        <w:pStyle w:val="98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8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t xml:space="preserve">。</w:t>
      </w:r>
      <w:r/>
    </w:p>
    <w:p>
      <w:pPr>
        <w:pStyle w:val="986"/>
        <w:ind w:firstLine="420"/>
        <w:spacing w:before="0" w:after="0" w:line="240" w:lineRule="auto"/>
        <w:rPr>
          <w:rFonts w:hint="eastAsia"/>
          <w:b w:val="0"/>
          <w:bCs w:val="0"/>
        </w:rPr>
      </w:pPr>
      <w:r/>
      <w:bookmarkStart w:id="63" w:name="_Toc513029206"/>
      <w:r/>
      <w:bookmarkStart w:id="64" w:name="_Toc20823278"/>
      <w:r/>
      <w:bookmarkStart w:id="65" w:name="_Toc16938522"/>
      <w:r>
        <w:rPr>
          <w:rFonts w:hint="eastAsia"/>
          <w:b w:val="0"/>
          <w:bCs w:val="0"/>
        </w:rPr>
        <w:t xml:space="preserve">3、适用法律</w:t>
      </w:r>
      <w:bookmarkEnd w:id="63"/>
      <w:r/>
      <w:bookmarkEnd w:id="64"/>
      <w:r/>
      <w:bookmarkEnd w:id="65"/>
      <w:r>
        <w:rPr>
          <w:rFonts w:hint="eastAsia"/>
          <w:b w:val="0"/>
          <w:bCs w:val="0"/>
        </w:rPr>
      </w:r>
      <w:r/>
    </w:p>
    <w:p>
      <w:pPr>
        <w:pStyle w:val="98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86"/>
        <w:ind w:firstLine="420"/>
        <w:spacing w:before="0" w:after="0" w:line="240" w:lineRule="auto"/>
        <w:rPr>
          <w:rFonts w:hint="eastAsia"/>
          <w:b w:val="0"/>
          <w:bCs w:val="0"/>
        </w:rPr>
      </w:pPr>
      <w:r/>
      <w:bookmarkStart w:id="66" w:name="_Toc513029207"/>
      <w:r/>
      <w:bookmarkStart w:id="67" w:name="_Toc16938523"/>
      <w:r/>
      <w:bookmarkStart w:id="68" w:name="_Toc20823279"/>
      <w:r/>
      <w:bookmarkStart w:id="69" w:name="_Toc462564067"/>
      <w:r>
        <w:rPr>
          <w:rFonts w:hint="eastAsia"/>
          <w:b w:val="0"/>
          <w:bCs w:val="0"/>
        </w:rPr>
        <w:t xml:space="preserve">4、投标费用</w:t>
      </w:r>
      <w:bookmarkEnd w:id="66"/>
      <w:r/>
      <w:bookmarkEnd w:id="67"/>
      <w:r/>
      <w:bookmarkEnd w:id="68"/>
      <w:r/>
      <w:bookmarkEnd w:id="69"/>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8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8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w:t>
      </w:r>
      <w:r>
        <w:rPr>
          <w:rFonts w:hint="eastAsia" w:ascii="宋体" w:hAnsi="宋体"/>
          <w:sz w:val="24"/>
          <w:szCs w:val="24"/>
        </w:rPr>
        <w:t xml:space="preserve">即被认为接受了本招标文件的规定和约束。</w:t>
      </w:r>
      <w:r/>
    </w:p>
    <w:p>
      <w:pPr>
        <w:pStyle w:val="985"/>
        <w:ind w:firstLine="321"/>
        <w:spacing w:before="156" w:after="156" w:line="360" w:lineRule="auto"/>
        <w:rPr>
          <w:rFonts w:hint="eastAsia"/>
        </w:rPr>
      </w:pPr>
      <w:r/>
      <w:bookmarkStart w:id="70" w:name="_Toc513029209"/>
      <w:r/>
      <w:bookmarkStart w:id="71" w:name="_Toc16938525"/>
      <w:r/>
      <w:bookmarkStart w:id="72" w:name="_Toc120614215"/>
      <w:r/>
      <w:bookmarkStart w:id="73" w:name="_Toc20823281"/>
      <w:r>
        <w:rPr>
          <w:rFonts w:hint="eastAsia"/>
        </w:rPr>
        <w:t xml:space="preserve">二、招标文件</w:t>
      </w:r>
      <w:bookmarkEnd w:id="70"/>
      <w:r/>
      <w:bookmarkEnd w:id="71"/>
      <w:r/>
      <w:bookmarkEnd w:id="72"/>
      <w:r/>
      <w:bookmarkEnd w:id="73"/>
      <w:r>
        <w:rPr>
          <w:rFonts w:hint="eastAsia"/>
        </w:rPr>
      </w:r>
      <w:r/>
    </w:p>
    <w:p>
      <w:pPr>
        <w:pStyle w:val="986"/>
        <w:ind w:firstLine="420"/>
        <w:spacing w:before="0" w:after="0" w:line="240" w:lineRule="auto"/>
        <w:rPr>
          <w:rFonts w:hint="eastAsia"/>
          <w:b w:val="0"/>
          <w:bCs w:val="0"/>
        </w:rPr>
      </w:pPr>
      <w:r/>
      <w:bookmarkStart w:id="74" w:name="_Toc16938526"/>
      <w:r/>
      <w:bookmarkStart w:id="75" w:name="_Toc513029210"/>
      <w:r/>
      <w:bookmarkStart w:id="76" w:name="_Toc20823282"/>
      <w:r>
        <w:rPr>
          <w:rFonts w:hint="eastAsia"/>
          <w:b w:val="0"/>
          <w:bCs w:val="0"/>
        </w:rPr>
        <w:t xml:space="preserve">6、招标文件构成</w:t>
      </w:r>
      <w:bookmarkEnd w:id="74"/>
      <w:r/>
      <w:bookmarkEnd w:id="75"/>
      <w:r/>
      <w:bookmarkEnd w:id="76"/>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8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8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8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8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8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8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firstLine="560"/>
        <w:spacing w:before="0" w:after="0" w:line="240" w:lineRule="auto"/>
        <w:rPr>
          <w:rFonts w:hint="eastAsia"/>
          <w:b w:val="0"/>
          <w:bCs w:val="0"/>
        </w:rPr>
      </w:pPr>
      <w:r/>
      <w:bookmarkStart w:id="77" w:name="_Toc513029211"/>
      <w:r/>
      <w:bookmarkStart w:id="78" w:name="_Toc16938527"/>
      <w:r/>
      <w:bookmarkStart w:id="79" w:name="_Toc462564070"/>
      <w:r/>
      <w:bookmarkStart w:id="80" w:name="_Toc20823283"/>
      <w:r>
        <w:rPr>
          <w:rFonts w:hint="eastAsia"/>
          <w:b w:val="0"/>
          <w:bCs w:val="0"/>
        </w:rPr>
        <w:t xml:space="preserve">7、招标文件的澄</w:t>
      </w:r>
      <w:r>
        <w:rPr>
          <w:rFonts w:hint="eastAsia"/>
          <w:b w:val="0"/>
          <w:bCs w:val="0"/>
        </w:rPr>
        <w:t xml:space="preserve">清</w:t>
      </w:r>
      <w:bookmarkEnd w:id="77"/>
      <w:r/>
      <w:bookmarkEnd w:id="78"/>
      <w:r/>
      <w:bookmarkEnd w:id="79"/>
      <w:r/>
      <w:bookmarkEnd w:id="80"/>
      <w:r>
        <w:rPr>
          <w:rFonts w:hint="eastAsia"/>
          <w:b w:val="0"/>
          <w:bCs w:val="0"/>
        </w:rPr>
      </w:r>
      <w:r/>
    </w:p>
    <w:p>
      <w:pPr>
        <w:pStyle w:val="98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86"/>
        <w:ind w:firstLine="560"/>
        <w:spacing w:before="0" w:after="0" w:line="240" w:lineRule="auto"/>
        <w:rPr>
          <w:rFonts w:hint="eastAsia"/>
          <w:b w:val="0"/>
          <w:bCs w:val="0"/>
        </w:rPr>
      </w:pPr>
      <w:r/>
      <w:bookmarkStart w:id="81" w:name="_Toc462564071"/>
      <w:r/>
      <w:bookmarkStart w:id="82" w:name="_Toc16938528"/>
      <w:r/>
      <w:bookmarkStart w:id="83" w:name="_Toc20823284"/>
      <w:r/>
      <w:bookmarkStart w:id="84" w:name="_Toc513029212"/>
      <w:r>
        <w:rPr>
          <w:rFonts w:hint="eastAsia"/>
          <w:b w:val="0"/>
          <w:bCs w:val="0"/>
        </w:rPr>
        <w:t xml:space="preserve">8、招标文</w:t>
      </w:r>
      <w:r>
        <w:rPr>
          <w:rFonts w:hint="eastAsia"/>
          <w:b w:val="0"/>
          <w:bCs w:val="0"/>
        </w:rPr>
        <w:t xml:space="preserve">件的修改</w:t>
      </w:r>
      <w:bookmarkEnd w:id="81"/>
      <w:r/>
      <w:bookmarkEnd w:id="82"/>
      <w:r/>
      <w:bookmarkEnd w:id="83"/>
      <w:r/>
      <w:bookmarkEnd w:id="84"/>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8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8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85"/>
        <w:ind w:firstLine="482"/>
        <w:spacing w:before="156" w:after="156" w:line="360" w:lineRule="auto"/>
        <w:rPr>
          <w:rFonts w:hint="eastAsia"/>
        </w:rPr>
      </w:pPr>
      <w:r/>
      <w:bookmarkStart w:id="85" w:name="_Toc462564072"/>
      <w:r/>
      <w:bookmarkStart w:id="86" w:name="_Toc20823285"/>
      <w:r/>
      <w:bookmarkStart w:id="87" w:name="_Toc120614216"/>
      <w:r/>
      <w:bookmarkStart w:id="88" w:name="_Toc16938529"/>
      <w:r/>
      <w:bookmarkStart w:id="89" w:name="_Toc513029213"/>
      <w:r>
        <w:rPr>
          <w:rFonts w:hint="eastAsia"/>
        </w:rPr>
        <w:t xml:space="preserve">三、投标文件的编制</w:t>
      </w:r>
      <w:bookmarkEnd w:id="85"/>
      <w:r/>
      <w:bookmarkEnd w:id="86"/>
      <w:r/>
      <w:bookmarkEnd w:id="87"/>
      <w:r/>
      <w:bookmarkEnd w:id="88"/>
      <w:r/>
      <w:bookmarkEnd w:id="89"/>
      <w:r>
        <w:rPr>
          <w:rFonts w:hint="eastAsia"/>
        </w:rPr>
      </w:r>
      <w:r/>
    </w:p>
    <w:p>
      <w:pPr>
        <w:pStyle w:val="986"/>
        <w:ind w:firstLine="560"/>
        <w:spacing w:before="0" w:after="0" w:line="240" w:lineRule="auto"/>
        <w:rPr>
          <w:rFonts w:hint="eastAsia"/>
          <w:bCs w:val="0"/>
        </w:rPr>
      </w:pPr>
      <w:r/>
      <w:bookmarkStart w:id="90" w:name="_Toc462564073"/>
      <w:r/>
      <w:bookmarkStart w:id="91" w:name="_Toc513029214"/>
      <w:r/>
      <w:bookmarkStart w:id="92" w:name="_Toc20823286"/>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98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8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86"/>
        <w:ind w:firstLine="420"/>
        <w:spacing w:before="0" w:after="0" w:line="240" w:lineRule="auto"/>
        <w:rPr>
          <w:rFonts w:hint="eastAsia"/>
          <w:b w:val="0"/>
          <w:bCs w:val="0"/>
        </w:rPr>
      </w:pPr>
      <w:r/>
      <w:bookmarkStart w:id="94" w:name="_Toc513029215"/>
      <w:r/>
      <w:bookmarkStart w:id="95" w:name="_Toc20823287"/>
      <w:r/>
      <w:bookmarkStart w:id="96" w:name="_Toc462564074"/>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98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8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w:t>
      </w:r>
      <w:r>
        <w:rPr>
          <w:rFonts w:hint="eastAsia" w:ascii="宋体" w:hAnsi="宋体"/>
          <w:sz w:val="24"/>
        </w:rPr>
        <w:t xml:space="preserve">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86"/>
        <w:ind w:firstLine="420"/>
        <w:spacing w:before="0" w:after="0" w:line="240" w:lineRule="auto"/>
        <w:rPr>
          <w:rFonts w:hint="eastAsia"/>
          <w:b w:val="0"/>
          <w:bCs w:val="0"/>
        </w:rPr>
      </w:pPr>
      <w:r/>
      <w:bookmarkStart w:id="98" w:name="_Hlt26668975"/>
      <w:r/>
      <w:bookmarkEnd w:id="98"/>
      <w:r/>
      <w:bookmarkStart w:id="99" w:name="_Hlt26670360"/>
      <w:r/>
      <w:bookmarkEnd w:id="99"/>
      <w:r/>
      <w:bookmarkStart w:id="100" w:name="_Hlt26954838"/>
      <w:r/>
      <w:bookmarkEnd w:id="100"/>
      <w:r/>
      <w:bookmarkStart w:id="101" w:name="_Toc49090509"/>
      <w:r/>
      <w:bookmarkStart w:id="102" w:name="_Toc513029219"/>
      <w:r/>
      <w:bookmarkStart w:id="103" w:name="_Toc14577357"/>
      <w:r/>
      <w:bookmarkStart w:id="104" w:name="_Toc14577354"/>
      <w:r/>
      <w:bookmarkStart w:id="105" w:name="_Toc513029216"/>
      <w:r/>
      <w:bookmarkStart w:id="106" w:name="_Toc49090507"/>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982"/>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8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6"/>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98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w:t>
      </w:r>
      <w:r>
        <w:rPr>
          <w:rFonts w:hint="eastAsia" w:ascii="宋体" w:hAnsi="宋体"/>
          <w:sz w:val="24"/>
        </w:rPr>
        <w:t xml:space="preserve">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98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86"/>
        <w:ind w:firstLine="420"/>
        <w:spacing w:before="0" w:after="0" w:line="240" w:lineRule="auto"/>
        <w:rPr>
          <w:rFonts w:hint="eastAsia"/>
          <w:b w:val="0"/>
          <w:bCs w:val="0"/>
        </w:rPr>
      </w:pPr>
      <w:r/>
      <w:bookmarkStart w:id="112" w:name="_Hlt26954848"/>
      <w:r/>
      <w:bookmarkEnd w:id="112"/>
      <w:r/>
      <w:bookmarkStart w:id="113" w:name="_Hlt26670486"/>
      <w:r/>
      <w:bookmarkEnd w:id="113"/>
      <w:r/>
      <w:bookmarkStart w:id="114" w:name="_Hlt26954842"/>
      <w:r/>
      <w:bookmarkEnd w:id="114"/>
      <w:r/>
      <w:bookmarkStart w:id="115" w:name="_Hlt26954844"/>
      <w:r/>
      <w:bookmarkEnd w:id="115"/>
      <w:r/>
      <w:bookmarkStart w:id="116" w:name="_Hlt26670425"/>
      <w:r/>
      <w:bookmarkEnd w:id="116"/>
      <w:r/>
      <w:bookmarkStart w:id="117" w:name="_Hlt26670403"/>
      <w:r/>
      <w:bookmarkEnd w:id="117"/>
      <w:r/>
      <w:bookmarkStart w:id="118" w:name="_Hlt26954731"/>
      <w:r/>
      <w:bookmarkEnd w:id="118"/>
      <w:r/>
      <w:bookmarkStart w:id="119" w:name="_Hlt26668983"/>
      <w:r/>
      <w:bookmarkEnd w:id="119"/>
      <w:r/>
      <w:bookmarkStart w:id="120" w:name="_Hlt26670482"/>
      <w:r/>
      <w:bookmarkEnd w:id="120"/>
      <w:r/>
      <w:bookmarkStart w:id="121" w:name="_Hlt26954846"/>
      <w:r/>
      <w:bookmarkEnd w:id="121"/>
      <w:r>
        <w:rPr>
          <w:rFonts w:hint="eastAsia"/>
          <w:b w:val="0"/>
          <w:bCs w:val="0"/>
        </w:rPr>
        <w:t xml:space="preserve">13、技术要求响应及偏离表、商务要求响应及偏离表</w:t>
      </w:r>
      <w:r/>
    </w:p>
    <w:p>
      <w:pPr>
        <w:pStyle w:val="98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8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86"/>
        <w:ind w:firstLine="420"/>
        <w:spacing w:before="0" w:after="0" w:line="240" w:lineRule="auto"/>
        <w:rPr>
          <w:rFonts w:hint="eastAsia"/>
          <w:b w:val="0"/>
          <w:bCs w:val="0"/>
        </w:rPr>
      </w:pPr>
      <w:r/>
      <w:bookmarkStart w:id="122" w:name="_Toc14577359"/>
      <w:r/>
      <w:bookmarkStart w:id="123" w:name="_Toc49090510"/>
      <w:r>
        <w:rPr>
          <w:rFonts w:hint="eastAsia"/>
          <w:b w:val="0"/>
          <w:bCs w:val="0"/>
        </w:rPr>
        <w:t xml:space="preserve">14、投标函和开标一览表</w:t>
      </w:r>
      <w:r/>
    </w:p>
    <w:p>
      <w:pPr>
        <w:pStyle w:val="98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8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w:t>
      </w:r>
      <w:r>
        <w:rPr>
          <w:rFonts w:hint="eastAsia" w:ascii="宋体" w:hAnsi="宋体"/>
          <w:bCs/>
          <w:sz w:val="24"/>
        </w:rPr>
        <w:t xml:space="preserve">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86"/>
        <w:ind w:firstLine="420"/>
        <w:spacing w:before="0" w:after="0" w:line="240" w:lineRule="auto"/>
        <w:rPr>
          <w:rFonts w:hint="eastAsia"/>
          <w:b w:val="0"/>
          <w:bCs w:val="0"/>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b w:val="0"/>
          <w:bCs w:val="0"/>
        </w:rPr>
        <w:t xml:space="preserve">15、投标有效期</w:t>
      </w:r>
      <w:bookmarkEnd w:id="127"/>
      <w:r/>
      <w:bookmarkEnd w:id="128"/>
      <w:r>
        <w:rPr>
          <w:rFonts w:hint="eastAsia"/>
          <w:b w:val="0"/>
          <w:bCs w:val="0"/>
        </w:rPr>
      </w:r>
      <w:r/>
    </w:p>
    <w:p>
      <w:pPr>
        <w:pStyle w:val="982"/>
        <w:ind w:firstLine="480"/>
        <w:spacing w:line="500" w:lineRule="exact"/>
        <w:rPr>
          <w:rFonts w:hint="eastAsia" w:ascii="宋体" w:hAnsi="宋体"/>
          <w:bCs/>
          <w:sz w:val="24"/>
        </w:rPr>
      </w:pPr>
      <w:r>
        <w:rPr>
          <w:rFonts w:hint="eastAsia" w:ascii="宋体" w:hAnsi="宋体"/>
          <w:sz w:val="24"/>
        </w:rPr>
        <w:t xml:space="preserve">15</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6"/>
        <w:ind w:firstLine="420"/>
        <w:spacing w:before="0" w:after="0" w:line="240" w:lineRule="auto"/>
        <w:rPr>
          <w:rFonts w:hint="eastAsia"/>
          <w:b w:val="0"/>
          <w:bCs w:val="0"/>
        </w:rPr>
      </w:pPr>
      <w:r>
        <w:rPr>
          <w:rFonts w:hint="eastAsia"/>
          <w:b w:val="0"/>
          <w:bCs w:val="0"/>
        </w:rPr>
        <w:t xml:space="preserve">16、投标有效期的延长</w:t>
      </w:r>
      <w:r/>
    </w:p>
    <w:p>
      <w:pPr>
        <w:pStyle w:val="98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w:t>
      </w:r>
      <w:r>
        <w:rPr>
          <w:rFonts w:hint="eastAsia" w:ascii="宋体" w:hAnsi="宋体"/>
          <w:sz w:val="24"/>
          <w:szCs w:val="24"/>
        </w:rPr>
        <w:t xml:space="preserve">期约束的所有权利与义务均延长至新的有效期</w:t>
      </w:r>
      <w:r>
        <w:rPr>
          <w:rFonts w:hint="eastAsia" w:ascii="宋体" w:hAnsi="宋体"/>
          <w:bCs/>
          <w:sz w:val="24"/>
        </w:rPr>
        <w:t xml:space="preserve">。</w:t>
      </w:r>
      <w:r/>
    </w:p>
    <w:p>
      <w:pPr>
        <w:pStyle w:val="985"/>
        <w:ind w:firstLine="482"/>
        <w:spacing w:before="156" w:after="156" w:line="360" w:lineRule="auto"/>
        <w:rPr>
          <w:rFonts w:hint="eastAsia"/>
        </w:rPr>
      </w:pPr>
      <w:r/>
      <w:bookmarkStart w:id="129" w:name="_Hlt26954852"/>
      <w:r/>
      <w:bookmarkEnd w:id="129"/>
      <w:r/>
      <w:bookmarkStart w:id="130" w:name="_Hlt26954739"/>
      <w:r/>
      <w:bookmarkEnd w:id="130"/>
      <w:r/>
      <w:bookmarkStart w:id="131" w:name="_Toc16938540"/>
      <w:r/>
      <w:bookmarkStart w:id="132" w:name="_Toc20823296"/>
      <w:r/>
      <w:bookmarkStart w:id="133" w:name="_Toc120614217"/>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986"/>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98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9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513029226"/>
      <w:r/>
      <w:bookmarkStart w:id="141" w:name="_Toc20823298"/>
      <w:r>
        <w:rPr>
          <w:rFonts w:hint="eastAsia" w:ascii="宋体" w:hAnsi="宋体"/>
          <w:bCs/>
          <w:sz w:val="24"/>
        </w:rPr>
      </w:r>
      <w:r/>
    </w:p>
    <w:p>
      <w:pPr>
        <w:pStyle w:val="986"/>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98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8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8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w:t>
      </w:r>
      <w:r>
        <w:rPr>
          <w:rFonts w:hint="eastAsia" w:ascii="宋体" w:hAnsi="宋体"/>
          <w:bCs/>
          <w:sz w:val="24"/>
        </w:rPr>
        <w:t xml:space="preserve">人受制的截止时间均应以延长后新的截止时间为准。</w:t>
      </w:r>
      <w:r/>
    </w:p>
    <w:p>
      <w:pPr>
        <w:pStyle w:val="986"/>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98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w:t>
      </w:r>
      <w:r>
        <w:rPr>
          <w:rFonts w:hint="eastAsia" w:ascii="宋体" w:hAnsi="宋体"/>
          <w:bCs/>
          <w:sz w:val="24"/>
        </w:rPr>
        <w:t xml:space="preserve">心拒绝接收在其规定的投标截止时间后上传的任何投标文件。</w:t>
      </w:r>
      <w:r/>
    </w:p>
    <w:p>
      <w:pPr>
        <w:pStyle w:val="986"/>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982"/>
        <w:ind w:firstLine="480"/>
        <w:spacing w:line="480" w:lineRule="exact"/>
        <w:rPr>
          <w:rFonts w:hint="eastAsia" w:ascii="宋体" w:hAnsi="宋体"/>
          <w:sz w:val="24"/>
        </w:rPr>
      </w:pPr>
      <w:r>
        <w:rPr>
          <w:rFonts w:hint="eastAsia" w:ascii="宋体" w:hAnsi="宋体"/>
          <w:sz w:val="24"/>
        </w:rPr>
        <w:t xml:space="preserve">20.1 投标文件的撤回</w:t>
      </w:r>
      <w:r/>
    </w:p>
    <w:p>
      <w:pPr>
        <w:pStyle w:val="98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8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8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8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8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85"/>
        <w:ind w:firstLine="482"/>
        <w:spacing w:before="156" w:after="156" w:line="360" w:lineRule="auto"/>
        <w:rPr>
          <w:rFonts w:hint="eastAsia"/>
        </w:rPr>
      </w:pPr>
      <w:r/>
      <w:bookmarkStart w:id="148" w:name="_Toc16938545"/>
      <w:r/>
      <w:bookmarkStart w:id="149" w:name="_Toc20823301"/>
      <w:r/>
      <w:bookmarkStart w:id="150" w:name="_Toc120614218"/>
      <w:r/>
      <w:bookmarkStart w:id="151" w:name="_Toc513029229"/>
      <w:r>
        <w:rPr>
          <w:rFonts w:hint="eastAsia"/>
        </w:rPr>
        <w:t xml:space="preserve">五、开标与评标</w:t>
      </w:r>
      <w:bookmarkEnd w:id="148"/>
      <w:r/>
      <w:bookmarkEnd w:id="149"/>
      <w:r/>
      <w:bookmarkEnd w:id="150"/>
      <w:r/>
      <w:bookmarkEnd w:id="151"/>
      <w:r>
        <w:rPr>
          <w:rFonts w:hint="eastAsia"/>
        </w:rPr>
      </w:r>
      <w:r/>
    </w:p>
    <w:p>
      <w:pPr>
        <w:pStyle w:val="986"/>
        <w:ind w:firstLine="420"/>
        <w:spacing w:before="0" w:after="0" w:line="240" w:lineRule="auto"/>
        <w:rPr>
          <w:rFonts w:hint="eastAsia"/>
          <w:b w:val="0"/>
          <w:bCs w:val="0"/>
        </w:rPr>
      </w:pPr>
      <w:r/>
      <w:bookmarkStart w:id="152" w:name="_Toc16938546"/>
      <w:r/>
      <w:bookmarkStart w:id="153" w:name="_Toc513029230"/>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98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8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w:t>
      </w:r>
      <w:r>
        <w:rPr>
          <w:rFonts w:hint="eastAsia" w:ascii="宋体" w:hAnsi="宋体"/>
          <w:bCs/>
          <w:sz w:val="24"/>
        </w:rPr>
        <w:t xml:space="preserve">确认等工作，应按照《操作手册》规定执行。</w:t>
      </w:r>
      <w:r>
        <w:rPr>
          <w:rFonts w:hint="eastAsia" w:ascii="宋体" w:hAnsi="宋体"/>
          <w:sz w:val="24"/>
          <w:szCs w:val="24"/>
        </w:rPr>
      </w:r>
      <w:r/>
    </w:p>
    <w:p>
      <w:pPr>
        <w:pStyle w:val="98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w:t>
      </w:r>
      <w:r>
        <w:rPr>
          <w:rFonts w:hint="eastAsia" w:ascii="宋体" w:hAnsi="宋体"/>
          <w:sz w:val="24"/>
          <w:szCs w:val="24"/>
        </w:rPr>
        <w:t xml:space="preserve">规定提出，如 苏采云系统中《开标记录表》宣布后5分钟内未提出的，视同认可开标结果。</w:t>
      </w:r>
      <w:r>
        <w:rPr>
          <w:rFonts w:ascii="宋体" w:hAnsi="宋体"/>
          <w:sz w:val="24"/>
          <w:szCs w:val="24"/>
        </w:rPr>
      </w:r>
      <w:r/>
    </w:p>
    <w:p>
      <w:pPr>
        <w:pStyle w:val="986"/>
        <w:ind w:firstLine="420"/>
        <w:spacing w:before="0" w:after="0" w:line="240" w:lineRule="auto"/>
        <w:rPr>
          <w:rFonts w:hint="eastAsia"/>
          <w:b w:val="0"/>
          <w:bCs w:val="0"/>
        </w:rPr>
      </w:pPr>
      <w:r/>
      <w:bookmarkStart w:id="155" w:name="_Toc513029231"/>
      <w:r/>
      <w:bookmarkStart w:id="156" w:name="_Toc16938547"/>
      <w:r/>
      <w:bookmarkStart w:id="157" w:name="_Toc20823303"/>
      <w:r>
        <w:rPr>
          <w:rFonts w:hint="eastAsia"/>
          <w:b w:val="0"/>
          <w:bCs w:val="0"/>
        </w:rPr>
        <w:t xml:space="preserve">22、评标委员会</w:t>
      </w:r>
      <w:r/>
    </w:p>
    <w:p>
      <w:pPr>
        <w:pStyle w:val="98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8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82"/>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8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8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986"/>
        <w:ind w:firstLine="420"/>
        <w:spacing w:before="0" w:after="0" w:line="240" w:lineRule="auto"/>
        <w:rPr>
          <w:rFonts w:hint="eastAsia"/>
          <w:b w:val="0"/>
          <w:bCs w:val="0"/>
        </w:rPr>
      </w:pPr>
      <w:r/>
      <w:bookmarkStart w:id="158" w:name="_Toc513029232"/>
      <w:r/>
      <w:bookmarkStart w:id="159" w:name="_Toc20823304"/>
      <w:r/>
      <w:bookmarkStart w:id="160" w:name="_Toc16938548"/>
      <w:r>
        <w:rPr>
          <w:rFonts w:hint="eastAsia"/>
          <w:b w:val="0"/>
          <w:bCs w:val="0"/>
        </w:rPr>
        <w:t xml:space="preserve">24、投标文件的澄清</w:t>
      </w:r>
      <w:bookmarkEnd w:id="158"/>
      <w:r/>
      <w:bookmarkEnd w:id="159"/>
      <w:r/>
      <w:bookmarkEnd w:id="160"/>
      <w:r>
        <w:rPr>
          <w:rFonts w:hint="eastAsia"/>
          <w:b w:val="0"/>
          <w:bCs w:val="0"/>
        </w:rPr>
      </w:r>
      <w:r/>
    </w:p>
    <w:p>
      <w:pPr>
        <w:pStyle w:val="98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w:t>
      </w:r>
      <w:r>
        <w:rPr>
          <w:rFonts w:hint="eastAsia" w:ascii="宋体" w:hAnsi="宋体"/>
          <w:sz w:val="24"/>
          <w:szCs w:val="24"/>
        </w:rPr>
        <w:t xml:space="preserve">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投标人的澄清、说明或者补正不</w:t>
      </w:r>
      <w:r>
        <w:rPr>
          <w:rFonts w:hint="eastAsia" w:ascii="宋体" w:hAnsi="宋体"/>
          <w:sz w:val="24"/>
          <w:szCs w:val="24"/>
        </w:rPr>
        <w:t xml:space="preserve">得超出投标文件的范围或者改变投标文件的实质性内容。</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82"/>
        <w:spacing w:line="480" w:lineRule="exact"/>
        <w:rPr>
          <w:rFonts w:hint="eastAsia" w:ascii="宋体" w:hAnsi="宋体"/>
          <w:sz w:val="24"/>
          <w:szCs w:val="24"/>
        </w:rPr>
      </w:pPr>
      <w:r>
        <w:rPr>
          <w:rFonts w:hint="eastAsia" w:ascii="宋体" w:hAnsi="宋体"/>
          <w:sz w:val="24"/>
          <w:szCs w:val="24"/>
        </w:rPr>
        <w:t xml:space="preserve">    24.3 接到评委会澄清、说明和补正要求</w:t>
      </w:r>
      <w:r>
        <w:rPr>
          <w:rFonts w:hint="eastAsia" w:ascii="宋体" w:hAnsi="宋体"/>
          <w:sz w:val="24"/>
          <w:szCs w:val="24"/>
        </w:rPr>
        <w:t xml:space="preserve">的投标人如未按规定做出澄清、说明和补正，其风险由投标人自行承担。</w:t>
      </w:r>
      <w:r/>
    </w:p>
    <w:p>
      <w:pPr>
        <w:pStyle w:val="986"/>
        <w:ind w:firstLine="420"/>
        <w:spacing w:before="0" w:after="0" w:line="240" w:lineRule="auto"/>
        <w:rPr>
          <w:rFonts w:hint="eastAsia"/>
          <w:b w:val="0"/>
          <w:bCs w:val="0"/>
        </w:rPr>
      </w:pPr>
      <w:r/>
      <w:bookmarkStart w:id="161" w:name="_Toc20823305"/>
      <w:r/>
      <w:bookmarkStart w:id="162" w:name="_Toc513029233"/>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98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8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8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8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w:t>
      </w:r>
      <w:r>
        <w:rPr>
          <w:rFonts w:hint="eastAsia" w:ascii="宋体" w:hAnsi="宋体"/>
          <w:bCs/>
          <w:sz w:val="24"/>
        </w:rPr>
        <w:t xml:space="preserve">一个联合体，以一个供应商的身份共同参加政府采购活动的,联合体成员存在不良信用记录的，视同联合体存在不良信用记</w:t>
      </w:r>
      <w:r>
        <w:rPr>
          <w:rFonts w:hint="eastAsia" w:ascii="宋体" w:hAnsi="宋体"/>
          <w:bCs/>
          <w:sz w:val="24"/>
        </w:rPr>
        <w:t xml:space="preserve">录。</w:t>
      </w:r>
      <w:r/>
    </w:p>
    <w:p>
      <w:pPr>
        <w:pStyle w:val="98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8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8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w:t>
      </w:r>
      <w:r>
        <w:rPr>
          <w:rFonts w:hint="eastAsia" w:ascii="宋体" w:hAnsi="宋体"/>
          <w:sz w:val="24"/>
        </w:rPr>
        <w:t xml:space="preserve">招标文件的要求。实质性响应的投标应该是与招标文件要求的全部条款、条件和规格相符，没有重大偏离或保留的投标。</w:t>
      </w:r>
      <w:r/>
    </w:p>
    <w:p>
      <w:pPr>
        <w:pStyle w:val="98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8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w:t>
      </w:r>
      <w:r>
        <w:rPr>
          <w:rFonts w:hint="eastAsia" w:ascii="宋体" w:hAnsi="宋体"/>
          <w:sz w:val="24"/>
        </w:rPr>
        <w:t xml:space="preserve">要求，评委会将予以拒绝，投标人不得通过修改或撤销不合要求的偏离或保留而使其投标成为实质性响应的投标。</w:t>
      </w:r>
      <w:r>
        <w:rPr>
          <w:rFonts w:ascii="宋体" w:hAnsi="宋体"/>
          <w:sz w:val="24"/>
        </w:rPr>
      </w:r>
      <w:r/>
    </w:p>
    <w:p>
      <w:pPr>
        <w:pStyle w:val="98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w:t>
      </w:r>
      <w:r>
        <w:rPr>
          <w:rFonts w:hint="eastAsia" w:ascii="宋体" w:hAnsi="宋体"/>
          <w:bCs/>
          <w:sz w:val="24"/>
        </w:rPr>
        <w:t xml:space="preserve">将对确定为实质性响应的投标进行进一步审核，确定其是否有计算上或累加上的算术错误，修正错误的原则如下：</w:t>
      </w:r>
      <w:r/>
    </w:p>
    <w:p>
      <w:pPr>
        <w:pStyle w:val="98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8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8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8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8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8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82"/>
        <w:ind w:firstLine="420"/>
        <w:spacing w:line="460" w:lineRule="exact"/>
        <w:rPr>
          <w:rFonts w:hint="eastAsia" w:ascii="宋体" w:hAnsi="宋体"/>
          <w:sz w:val="24"/>
        </w:rPr>
      </w:pPr>
      <w:r/>
      <w:bookmarkStart w:id="164" w:name="_Toc513029234"/>
      <w:r/>
      <w:bookmarkStart w:id="165" w:name="_Toc20823306"/>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86"/>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982"/>
        <w:ind w:left="479"/>
        <w:spacing w:line="44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p>
    <w:p>
      <w:pPr>
        <w:pStyle w:val="98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98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8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82"/>
        <w:ind w:left="479"/>
        <w:spacing w:line="440" w:lineRule="exact"/>
        <w:rPr>
          <w:rFonts w:hint="eastAsia" w:ascii="宋体" w:hAnsi="宋体"/>
          <w:bCs/>
          <w:sz w:val="24"/>
        </w:rPr>
      </w:pPr>
      <w:r>
        <w:rPr>
          <w:rFonts w:hint="eastAsia" w:ascii="宋体" w:hAnsi="宋体"/>
          <w:bCs/>
          <w:sz w:val="24"/>
        </w:rPr>
        <w:t xml:space="preserve">26.1.4投标人不具备招标文件中规定资格</w:t>
      </w:r>
      <w:r>
        <w:rPr>
          <w:rFonts w:hint="eastAsia" w:ascii="宋体" w:hAnsi="宋体"/>
          <w:bCs/>
          <w:sz w:val="24"/>
        </w:rPr>
        <w:t xml:space="preserve">要求的。</w:t>
      </w:r>
      <w:r/>
    </w:p>
    <w:p>
      <w:pPr>
        <w:pStyle w:val="98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8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8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8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w:t>
      </w:r>
      <w:r>
        <w:rPr>
          <w:rFonts w:hint="eastAsia" w:ascii="宋体" w:hAnsi="宋体"/>
          <w:bCs/>
          <w:sz w:val="24"/>
        </w:rPr>
        <w:t xml:space="preserve">民共和国政府采购法》第二十二条规定条件的信用记录。</w:t>
      </w:r>
      <w:r/>
    </w:p>
    <w:p>
      <w:pPr>
        <w:pStyle w:val="98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82"/>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8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8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82"/>
        <w:ind w:left="479"/>
        <w:spacing w:line="440" w:lineRule="exact"/>
        <w:rPr>
          <w:rFonts w:hint="eastAsia" w:ascii="宋体" w:hAnsi="宋体"/>
          <w:bCs/>
          <w:sz w:val="24"/>
        </w:rPr>
      </w:pPr>
      <w:r>
        <w:rPr>
          <w:rFonts w:hint="eastAsia" w:ascii="宋体" w:hAnsi="宋体"/>
          <w:bCs/>
          <w:sz w:val="24"/>
        </w:rPr>
        <w:t xml:space="preserve">26.2废标条款</w:t>
      </w:r>
      <w:r/>
    </w:p>
    <w:p>
      <w:pPr>
        <w:pStyle w:val="982"/>
        <w:ind w:left="479"/>
        <w:spacing w:line="440" w:lineRule="exact"/>
        <w:rPr>
          <w:rFonts w:hint="eastAsia" w:ascii="宋体" w:hAnsi="宋体"/>
          <w:bCs/>
          <w:sz w:val="24"/>
        </w:rPr>
      </w:pPr>
      <w:r>
        <w:rPr>
          <w:rFonts w:hint="eastAsia" w:ascii="宋体" w:hAnsi="宋体"/>
          <w:bCs/>
          <w:sz w:val="24"/>
        </w:rPr>
        <w:t xml:space="preserve">26.2.1符合专业条件的供应</w:t>
      </w:r>
      <w:r>
        <w:rPr>
          <w:rFonts w:hint="eastAsia" w:ascii="宋体" w:hAnsi="宋体"/>
          <w:bCs/>
          <w:sz w:val="24"/>
        </w:rPr>
        <w:t xml:space="preserve">商或者对招标文件作实质响应的供应商不足三家的。26.2.2出现影响采购公正的违法、违规行为的。</w:t>
      </w:r>
      <w:r/>
    </w:p>
    <w:p>
      <w:pPr>
        <w:pStyle w:val="98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8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8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8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8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w:t>
      </w:r>
      <w:r>
        <w:rPr>
          <w:rFonts w:hint="eastAsia" w:ascii="宋体" w:hAnsi="宋体"/>
          <w:bCs/>
          <w:sz w:val="24"/>
        </w:rPr>
        <w:t xml:space="preserve">响应的供应商不足三家情况，按政府采购相关规定执行。</w:t>
      </w:r>
      <w:r/>
    </w:p>
    <w:p>
      <w:pPr>
        <w:pStyle w:val="985"/>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986"/>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98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8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w:t>
      </w:r>
      <w:r>
        <w:rPr>
          <w:rFonts w:hint="eastAsia" w:ascii="宋体" w:hAnsi="宋体"/>
          <w:sz w:val="24"/>
          <w:szCs w:val="24"/>
        </w:rPr>
        <w:t xml:space="preserve">.4与采购人或者其他供应商恶意串通的。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82"/>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t xml:space="preserve">。</w:t>
      </w:r>
      <w:r>
        <w:rPr>
          <w:rFonts w:ascii="宋体" w:hAnsi="宋体"/>
          <w:sz w:val="24"/>
          <w:szCs w:val="24"/>
        </w:rPr>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8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w:t>
      </w:r>
      <w:r>
        <w:rPr>
          <w:rFonts w:hAnsi="宋体" w:cs="宋体"/>
          <w:sz w:val="24"/>
          <w:szCs w:val="24"/>
        </w:rPr>
        <w:t xml:space="preserve">程提出质疑的，为各采购程序环节结束之日；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hAnsi="宋体" w:cs="宋体"/>
          <w:sz w:val="24"/>
          <w:szCs w:val="24"/>
        </w:rPr>
        <w:t xml:space="preserve">供应商应当</w:t>
      </w:r>
      <w:r>
        <w:rPr>
          <w:rFonts w:hint="eastAsia" w:hAnsi="宋体" w:cs="宋体"/>
          <w:sz w:val="24"/>
          <w:szCs w:val="24"/>
        </w:rPr>
        <w:t xml:space="preserve">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8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w:t>
      </w:r>
      <w:r>
        <w:rPr>
          <w:rFonts w:hint="eastAsia" w:ascii="宋体" w:hAnsi="宋体"/>
          <w:sz w:val="24"/>
          <w:szCs w:val="24"/>
        </w:rPr>
        <w:t xml:space="preserve">投标活动中自身权益未受到损害的供应商所提出的质疑。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8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8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8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5"/>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986"/>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p>
    <w:p>
      <w:pPr>
        <w:pStyle w:val="98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w:t>
      </w:r>
      <w:r>
        <w:rPr>
          <w:rFonts w:hint="eastAsia" w:ascii="宋体" w:hAnsi="宋体"/>
          <w:sz w:val="24"/>
          <w:szCs w:val="24"/>
        </w:rPr>
        <w:t xml:space="preserve">通知书发出之日起三十日内，按照招标文件确定的事项与采购人签订政府采购合同。</w:t>
      </w:r>
      <w:r/>
    </w:p>
    <w:p>
      <w:pPr>
        <w:pStyle w:val="98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w:t>
      </w:r>
      <w:r>
        <w:rPr>
          <w:rFonts w:hint="eastAsia" w:ascii="宋体" w:hAnsi="宋体"/>
          <w:sz w:val="24"/>
          <w:szCs w:val="24"/>
        </w:rPr>
        <w:t xml:space="preserve">关澄清、承诺文件均应作为合同附件。</w:t>
      </w:r>
      <w:r/>
    </w:p>
    <w:p>
      <w:pPr>
        <w:pStyle w:val="98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8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86"/>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513029242"/>
      <w:r/>
      <w:bookmarkStart w:id="183" w:name="_Toc20823314"/>
      <w:r/>
      <w:bookmarkStart w:id="184" w:name="_Toc120614221"/>
      <w:r/>
      <w:bookmarkStart w:id="185" w:name="_Toc479757207"/>
      <w:r/>
      <w:bookmarkStart w:id="186" w:name="_Toc16938558"/>
      <w:r>
        <w:rPr>
          <w:rFonts w:hint="eastAsia" w:ascii="黑体" w:hAnsi="宋体" w:cs="Times New Roman"/>
          <w:b w:val="0"/>
          <w:sz w:val="30"/>
          <w:szCs w:val="30"/>
        </w:rPr>
        <w:t xml:space="preserve">32、需要执行的政府采购政策（包括但不限于）</w:t>
      </w:r>
      <w:r/>
    </w:p>
    <w:p>
      <w:pPr>
        <w:pStyle w:val="98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8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8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w:t>
      </w:r>
      <w:r>
        <w:rPr>
          <w:rFonts w:ascii="宋体" w:hAnsi="宋体"/>
          <w:b/>
          <w:sz w:val="24"/>
          <w:szCs w:val="24"/>
        </w:rPr>
        <w:t xml:space="preserve">狱企业及残疾人福利性单位</w:t>
      </w:r>
      <w:r/>
    </w:p>
    <w:p>
      <w:pPr>
        <w:pStyle w:val="98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82"/>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w:t>
      </w:r>
      <w:r>
        <w:rPr>
          <w:rFonts w:ascii="宋体" w:hAnsi="宋体"/>
          <w:sz w:val="24"/>
          <w:szCs w:val="24"/>
        </w:rPr>
        <w:t xml:space="preserve">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8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8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8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8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8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w:t>
      </w:r>
      <w:r>
        <w:rPr>
          <w:rFonts w:ascii="宋体" w:hAnsi="宋体"/>
          <w:sz w:val="24"/>
          <w:szCs w:val="24"/>
        </w:rPr>
        <w:t xml:space="preserve">物既有中小企业制造货物，也有大型企业制造货物的，不享受中小企业扶持政策。</w:t>
      </w:r>
      <w:r/>
    </w:p>
    <w:p>
      <w:pPr>
        <w:pStyle w:val="98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w:t>
      </w:r>
      <w:r>
        <w:rPr>
          <w:rFonts w:ascii="宋体" w:hAnsi="宋体"/>
          <w:sz w:val="24"/>
          <w:szCs w:val="24"/>
        </w:rPr>
        <w:t xml:space="preserve">体各方均为中小企业的，联合体视同中小企业。其中，联合体各方均为小微企业的，联合体视同小微企业。</w:t>
      </w:r>
      <w:r/>
    </w:p>
    <w:p>
      <w:pPr>
        <w:pStyle w:val="98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8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8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8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8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w:t>
      </w:r>
      <w:r>
        <w:rPr>
          <w:rFonts w:ascii="宋体" w:hAnsi="宋体"/>
          <w:sz w:val="24"/>
          <w:szCs w:val="24"/>
        </w:rPr>
        <w:t xml:space="preserve">工资；</w:t>
      </w:r>
      <w:r/>
    </w:p>
    <w:p>
      <w:pPr>
        <w:pStyle w:val="98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w:t>
      </w:r>
      <w:r>
        <w:rPr>
          <w:rFonts w:ascii="宋体" w:hAnsi="宋体"/>
          <w:sz w:val="24"/>
          <w:szCs w:val="24"/>
        </w:rPr>
        <w:t xml:space="preserve">或者提供其他残疾人福利性单位制造的货物（不包括使用非残疾人福利性单位注册商标的货物）；</w:t>
      </w:r>
      <w:r/>
    </w:p>
    <w:p>
      <w:pPr>
        <w:pStyle w:val="98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w:t>
      </w:r>
      <w:r>
        <w:rPr>
          <w:rFonts w:ascii="宋体" w:hAnsi="宋体"/>
          <w:sz w:val="24"/>
          <w:szCs w:val="24"/>
        </w:rPr>
        <w:t xml:space="preserve">小企业预留采购份额见第一章《投标邀请》。</w:t>
      </w:r>
      <w:r/>
    </w:p>
    <w:p>
      <w:pPr>
        <w:pStyle w:val="98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8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8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8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w:t>
      </w:r>
      <w:r>
        <w:rPr>
          <w:rFonts w:ascii="宋体" w:hAnsi="宋体"/>
          <w:sz w:val="24"/>
          <w:szCs w:val="24"/>
        </w:rPr>
        <w:t xml:space="preserve">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82"/>
        <w:ind w:firstLine="480"/>
        <w:spacing w:line="480" w:lineRule="exact"/>
        <w:rPr>
          <w:rFonts w:ascii="宋体" w:hAnsi="宋体"/>
          <w:sz w:val="24"/>
          <w:szCs w:val="24"/>
        </w:rPr>
      </w:pPr>
      <w:r>
        <w:rPr>
          <w:rFonts w:ascii="宋体" w:hAnsi="宋体"/>
          <w:sz w:val="24"/>
          <w:szCs w:val="24"/>
        </w:rPr>
        <w:t xml:space="preserve">为落实《关于运用政府采购政策支持乡村产业</w:t>
      </w:r>
      <w:r>
        <w:rPr>
          <w:rFonts w:ascii="宋体" w:hAnsi="宋体"/>
          <w:sz w:val="24"/>
          <w:szCs w:val="24"/>
        </w:rPr>
        <w:t xml:space="preserve">振兴的通知》（财库〔2021〕19号）有关要求，做好支持脱贫攻坚工作，本项目采购活动中对于支持乡村振兴管理的相关要求见第五章《采购需求》（如涉及）。</w:t>
      </w:r>
      <w:r/>
    </w:p>
    <w:p>
      <w:pPr>
        <w:pStyle w:val="98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8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w:t>
      </w:r>
      <w:r>
        <w:rPr>
          <w:rFonts w:ascii="宋体" w:hAnsi="宋体"/>
          <w:sz w:val="24"/>
          <w:szCs w:val="24"/>
        </w:rPr>
        <w:t xml:space="preserve">政府部门在购置计算机办公设备时，必须采购预装正版操作系统软件的计算机产品，相关规定依据《国家版权局、信息产业部、财政部、国务院机关事务</w:t>
      </w:r>
      <w:r>
        <w:rPr>
          <w:rFonts w:ascii="宋体" w:hAnsi="宋体"/>
          <w:sz w:val="24"/>
          <w:szCs w:val="24"/>
        </w:rPr>
        <w:t xml:space="preserve">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w:t>
      </w:r>
      <w:r>
        <w:rPr>
          <w:rFonts w:hint="eastAsia" w:ascii="宋体" w:hAnsi="宋体"/>
          <w:sz w:val="24"/>
          <w:szCs w:val="24"/>
        </w:rPr>
        <w:t xml:space="preserve">新服务、首台套、首购首用等《目录》的创新产品，上述《目录》内创新产品，自认定之日起2年内视同已具备相应销售业绩，参加政府采购活动时业绩分值为满分。（如涉及）</w:t>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w:t>
      </w:r>
      <w:r>
        <w:rPr>
          <w:rFonts w:hint="eastAsia" w:ascii="宋体" w:hAnsi="宋体"/>
          <w:sz w:val="24"/>
          <w:szCs w:val="24"/>
        </w:rPr>
        <w:t xml:space="preserve">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8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8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82"/>
        <w:ind w:firstLine="480"/>
        <w:spacing w:line="480" w:lineRule="exact"/>
        <w:rPr>
          <w:rFonts w:ascii="宋体" w:hAnsi="宋体"/>
          <w:sz w:val="24"/>
          <w:szCs w:val="24"/>
        </w:rPr>
      </w:pPr>
      <w:r>
        <w:rPr>
          <w:rFonts w:ascii="宋体" w:hAnsi="宋体"/>
          <w:sz w:val="24"/>
          <w:szCs w:val="24"/>
        </w:rPr>
      </w:r>
      <w:r/>
    </w:p>
    <w:p>
      <w:pPr>
        <w:pStyle w:val="982"/>
      </w:pPr>
      <w:r/>
      <w:r/>
    </w:p>
    <w:p>
      <w:pPr>
        <w:pStyle w:val="999"/>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rPr>
          <w:rFonts w:hint="eastAsia"/>
        </w:rPr>
      </w:pPr>
      <w:r>
        <w:rPr>
          <w:rFonts w:hint="eastAsia"/>
        </w:rPr>
      </w:r>
      <w:r/>
    </w:p>
    <w:p>
      <w:pPr>
        <w:pStyle w:val="982"/>
      </w:pPr>
      <w:r/>
      <w:r/>
    </w:p>
    <w:p>
      <w:pPr>
        <w:pStyle w:val="982"/>
      </w:pPr>
      <w:r/>
      <w:r/>
    </w:p>
    <w:p>
      <w:pPr>
        <w:pStyle w:val="982"/>
      </w:pPr>
      <w:r/>
      <w:r/>
    </w:p>
    <w:p>
      <w:pPr>
        <w:pStyle w:val="982"/>
      </w:pPr>
      <w:r/>
      <w:r/>
    </w:p>
    <w:p>
      <w:pPr>
        <w:pStyle w:val="983"/>
        <w:rPr>
          <w:rFonts w:hint="eastAsia"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982"/>
        <w:ind w:firstLine="480"/>
        <w:spacing w:line="500" w:lineRule="exact"/>
        <w:rPr>
          <w:rFonts w:hint="eastAsia" w:ascii="宋体" w:hAnsi="宋体"/>
          <w:bCs/>
          <w:sz w:val="24"/>
        </w:rPr>
      </w:pPr>
      <w:r/>
      <w:bookmarkStart w:id="188" w:name="_Toc513029243"/>
      <w:r/>
      <w:bookmarkStart w:id="189" w:name="_Toc20823315"/>
      <w:r/>
      <w:bookmarkStart w:id="190" w:name="_Toc16938559"/>
      <w:r>
        <w:rPr>
          <w:rFonts w:hint="eastAsia" w:ascii="宋体" w:hAnsi="宋体"/>
          <w:bCs/>
          <w:sz w:val="24"/>
        </w:rPr>
        <w:t xml:space="preserve">以下为中标后签定本项目合同的通用条款，中标人不得提出实质性的修改。</w:t>
      </w:r>
      <w:r/>
    </w:p>
    <w:p>
      <w:pPr>
        <w:pStyle w:val="982"/>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995"/>
        <w:spacing w:before="120" w:after="120"/>
        <w:rPr>
          <w:rFonts w:hAnsi="宋体"/>
          <w:sz w:val="24"/>
          <w:szCs w:val="24"/>
        </w:rPr>
      </w:pPr>
      <w:r>
        <w:rPr>
          <w:rFonts w:hAnsi="宋体"/>
          <w:sz w:val="24"/>
          <w:szCs w:val="24"/>
        </w:rPr>
        <w:t xml:space="preserve">项目名称：                                       项目编号：</w:t>
      </w:r>
      <w:r/>
    </w:p>
    <w:p>
      <w:pPr>
        <w:pStyle w:val="995"/>
        <w:spacing w:before="120" w:after="120"/>
        <w:rPr>
          <w:rFonts w:hAnsi="宋体"/>
          <w:sz w:val="24"/>
          <w:szCs w:val="24"/>
        </w:rPr>
      </w:pPr>
      <w:r>
        <w:rPr>
          <w:rFonts w:hAnsi="宋体"/>
          <w:sz w:val="24"/>
          <w:szCs w:val="24"/>
        </w:rPr>
        <w:t xml:space="preserve">甲方：（买方）_________</w:t>
      </w:r>
      <w:r/>
    </w:p>
    <w:p>
      <w:pPr>
        <w:pStyle w:val="99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9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w:t>
      </w:r>
      <w:r>
        <w:rPr>
          <w:rFonts w:hAnsi="宋体"/>
          <w:sz w:val="24"/>
          <w:szCs w:val="24"/>
        </w:rPr>
        <w:t xml:space="preserve">招标的结果，签署本合同。</w:t>
      </w:r>
      <w:r>
        <w:rPr>
          <w:rFonts w:hAnsi="宋体"/>
          <w:b/>
          <w:sz w:val="24"/>
          <w:szCs w:val="24"/>
        </w:rPr>
      </w:r>
      <w:r/>
    </w:p>
    <w:p>
      <w:pPr>
        <w:pStyle w:val="99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95"/>
        <w:spacing w:before="120" w:after="120"/>
        <w:rPr>
          <w:rFonts w:hint="eastAsia" w:hAnsi="宋体"/>
          <w:sz w:val="24"/>
          <w:szCs w:val="24"/>
        </w:rPr>
      </w:pPr>
      <w:r>
        <w:rPr>
          <w:rFonts w:hint="eastAsia" w:hAnsi="宋体"/>
          <w:sz w:val="24"/>
          <w:szCs w:val="24"/>
        </w:rPr>
        <w:t xml:space="preserve">1.3 标的数量（规模）：</w:t>
      </w:r>
      <w:r/>
    </w:p>
    <w:p>
      <w:pPr>
        <w:pStyle w:val="995"/>
        <w:spacing w:before="120" w:after="120"/>
        <w:rPr>
          <w:rFonts w:hint="eastAsia" w:hAnsi="宋体"/>
          <w:sz w:val="24"/>
          <w:szCs w:val="24"/>
        </w:rPr>
      </w:pPr>
      <w:r>
        <w:rPr>
          <w:rFonts w:hint="eastAsia" w:hAnsi="宋体"/>
          <w:sz w:val="24"/>
          <w:szCs w:val="24"/>
        </w:rPr>
        <w:t xml:space="preserve">1.4 履行时间（期限）：</w:t>
      </w:r>
      <w:r/>
    </w:p>
    <w:p>
      <w:pPr>
        <w:pStyle w:val="99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9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95"/>
        <w:spacing w:before="120" w:after="120"/>
        <w:rPr>
          <w:rFonts w:hAnsi="宋体"/>
          <w:b/>
          <w:sz w:val="24"/>
          <w:szCs w:val="24"/>
        </w:rPr>
      </w:pPr>
      <w:r>
        <w:rPr>
          <w:rFonts w:hAnsi="宋体"/>
          <w:b/>
          <w:sz w:val="24"/>
          <w:szCs w:val="24"/>
        </w:rPr>
        <w:t xml:space="preserve">二、合同金额</w:t>
      </w:r>
      <w:r/>
    </w:p>
    <w:p>
      <w:pPr>
        <w:pStyle w:val="99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95"/>
        <w:spacing w:before="120" w:after="120"/>
        <w:rPr>
          <w:rFonts w:hAnsi="宋体"/>
          <w:b/>
          <w:sz w:val="24"/>
          <w:szCs w:val="24"/>
        </w:rPr>
      </w:pPr>
      <w:r>
        <w:rPr>
          <w:rFonts w:hAnsi="宋体"/>
          <w:b/>
          <w:sz w:val="24"/>
          <w:szCs w:val="24"/>
        </w:rPr>
        <w:t xml:space="preserve">三、技术资料</w:t>
      </w:r>
      <w:r/>
    </w:p>
    <w:p>
      <w:pPr>
        <w:pStyle w:val="99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9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w:t>
      </w:r>
      <w:r>
        <w:rPr>
          <w:rFonts w:hAnsi="宋体"/>
          <w:sz w:val="24"/>
          <w:szCs w:val="24"/>
        </w:rPr>
        <w:t xml:space="preserve">同无关的任何其他人。即使向履行本合同有关的人员提供，也应注意保密并限于履行合</w:t>
      </w:r>
      <w:r>
        <w:rPr>
          <w:rFonts w:hAnsi="宋体"/>
          <w:sz w:val="24"/>
          <w:szCs w:val="24"/>
        </w:rPr>
        <w:t xml:space="preserve">同的必需范围。</w:t>
      </w:r>
      <w:r/>
    </w:p>
    <w:p>
      <w:pPr>
        <w:pStyle w:val="995"/>
        <w:ind w:left="412" w:hanging="412"/>
        <w:spacing w:before="120" w:after="120"/>
        <w:rPr>
          <w:rFonts w:hAnsi="宋体"/>
          <w:b/>
          <w:sz w:val="24"/>
          <w:szCs w:val="24"/>
        </w:rPr>
      </w:pPr>
      <w:r>
        <w:rPr>
          <w:rFonts w:hAnsi="宋体"/>
          <w:b/>
          <w:sz w:val="24"/>
          <w:szCs w:val="24"/>
        </w:rPr>
        <w:t xml:space="preserve">四、知识产权</w:t>
      </w:r>
      <w:r/>
    </w:p>
    <w:p>
      <w:pPr>
        <w:pStyle w:val="99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9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95"/>
        <w:ind w:left="410" w:hanging="410"/>
        <w:spacing w:before="120" w:after="120"/>
        <w:rPr>
          <w:rFonts w:hAnsi="宋体"/>
          <w:b/>
          <w:sz w:val="24"/>
          <w:szCs w:val="24"/>
        </w:rPr>
      </w:pPr>
      <w:r>
        <w:rPr>
          <w:rFonts w:hAnsi="宋体"/>
          <w:b/>
          <w:sz w:val="24"/>
          <w:szCs w:val="24"/>
        </w:rPr>
        <w:t xml:space="preserve">六、履约保证金</w:t>
      </w:r>
      <w:r/>
    </w:p>
    <w:p>
      <w:pPr>
        <w:pStyle w:val="995"/>
        <w:ind w:left="408" w:hanging="408"/>
        <w:spacing w:before="120" w:after="120"/>
        <w:rPr>
          <w:rFonts w:hAnsi="宋体"/>
          <w:sz w:val="24"/>
          <w:szCs w:val="24"/>
        </w:rPr>
      </w:pPr>
      <w:r>
        <w:rPr>
          <w:rFonts w:hint="eastAsia" w:hAnsi="宋体"/>
          <w:sz w:val="24"/>
          <w:szCs w:val="24"/>
        </w:rPr>
        <w:t xml:space="preserve">本项目收取履约保证金。</w:t>
      </w:r>
      <w:r>
        <w:rPr>
          <w:rFonts w:hAnsi="宋体"/>
          <w:sz w:val="24"/>
          <w:szCs w:val="24"/>
        </w:rPr>
      </w:r>
      <w:r/>
    </w:p>
    <w:p>
      <w:pPr>
        <w:pStyle w:val="995"/>
        <w:ind w:left="408" w:hanging="408"/>
        <w:spacing w:before="120" w:after="120"/>
        <w:rPr>
          <w:rFonts w:hAnsi="宋体"/>
          <w:sz w:val="24"/>
          <w:szCs w:val="24"/>
        </w:rPr>
      </w:pPr>
      <w:r>
        <w:rPr>
          <w:rFonts w:hint="eastAsia" w:hAnsi="宋体"/>
          <w:sz w:val="24"/>
          <w:szCs w:val="24"/>
        </w:rPr>
        <w:t xml:space="preserve">6</w:t>
      </w:r>
      <w:r>
        <w:rPr>
          <w:rFonts w:hint="eastAsia" w:hAnsi="宋体"/>
          <w:sz w:val="24"/>
          <w:szCs w:val="24"/>
        </w:rPr>
        <w:t xml:space="preserve">.1 </w:t>
      </w:r>
      <w:r>
        <w:rPr>
          <w:rFonts w:hAnsi="宋体"/>
          <w:sz w:val="24"/>
          <w:szCs w:val="24"/>
        </w:rPr>
        <w:t xml:space="preserve">乙方</w:t>
      </w:r>
      <w:r>
        <w:rPr>
          <w:rFonts w:hint="eastAsia" w:hAnsi="宋体"/>
          <w:sz w:val="24"/>
          <w:szCs w:val="24"/>
        </w:rPr>
        <w:t xml:space="preserve">须向经办机构按2026年大病保险保费预算总额的1%缴纳履约保证金</w:t>
      </w:r>
      <w:r>
        <w:rPr>
          <w:rFonts w:hAnsi="宋体"/>
          <w:sz w:val="24"/>
          <w:szCs w:val="24"/>
        </w:rPr>
        <w:t xml:space="preserve">为本合同的履约保证金。供应商可以自主选择以支票、汇票、本票、保函（保险）等非现金形式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9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95"/>
        <w:ind w:left="408" w:hanging="408"/>
        <w:spacing w:before="120" w:after="120"/>
        <w:rPr>
          <w:rFonts w:hAnsi="宋体"/>
          <w:sz w:val="24"/>
          <w:szCs w:val="24"/>
        </w:rPr>
      </w:pPr>
      <w:r>
        <w:rPr>
          <w:rFonts w:hint="eastAsia" w:hAnsi="宋体"/>
          <w:sz w:val="24"/>
          <w:szCs w:val="24"/>
        </w:rPr>
        <w:t xml:space="preserve">6.2.1履约保证金退还方式：原路无息退回履约保证金。</w:t>
      </w:r>
      <w:r>
        <w:rPr>
          <w:rFonts w:hAnsi="宋体"/>
          <w:sz w:val="24"/>
          <w:szCs w:val="24"/>
        </w:rPr>
      </w:r>
      <w:r/>
    </w:p>
    <w:p>
      <w:pPr>
        <w:pStyle w:val="995"/>
        <w:ind w:left="408" w:hanging="408"/>
        <w:spacing w:before="120" w:after="120"/>
        <w:rPr>
          <w:rFonts w:hAnsi="宋体"/>
          <w:sz w:val="24"/>
          <w:szCs w:val="24"/>
        </w:rPr>
      </w:pPr>
      <w:r>
        <w:rPr>
          <w:rFonts w:hint="eastAsia" w:hAnsi="宋体"/>
          <w:sz w:val="24"/>
          <w:szCs w:val="24"/>
        </w:rPr>
        <w:t xml:space="preserve">6.2.2履约保证金退还时间：本项目清算结束后7日内。</w:t>
      </w:r>
      <w:r>
        <w:rPr>
          <w:rFonts w:hAnsi="宋体"/>
          <w:sz w:val="24"/>
          <w:szCs w:val="24"/>
        </w:rPr>
      </w:r>
      <w:r/>
    </w:p>
    <w:p>
      <w:pPr>
        <w:pStyle w:val="995"/>
        <w:ind w:left="408" w:hanging="408"/>
        <w:spacing w:before="120" w:after="120"/>
        <w:rPr>
          <w:rFonts w:hAnsi="宋体"/>
          <w:sz w:val="24"/>
          <w:szCs w:val="24"/>
        </w:rPr>
      </w:pPr>
      <w:r>
        <w:rPr>
          <w:rFonts w:hint="eastAsia" w:hAnsi="宋体"/>
          <w:sz w:val="24"/>
          <w:szCs w:val="24"/>
        </w:rPr>
        <w:t xml:space="preserve">6.2.3履约保证金退还条件：承办机构服务期限届满且不存在未履行相关承诺的情形。</w:t>
      </w:r>
      <w:r>
        <w:rPr>
          <w:rFonts w:hAnsi="宋体"/>
          <w:sz w:val="24"/>
          <w:szCs w:val="24"/>
        </w:rPr>
      </w:r>
      <w:r/>
    </w:p>
    <w:p>
      <w:pPr>
        <w:pStyle w:val="995"/>
        <w:ind w:left="408" w:hanging="408"/>
        <w:spacing w:before="120" w:after="120"/>
        <w:rPr>
          <w:rFonts w:hAnsi="宋体"/>
          <w:sz w:val="24"/>
          <w:szCs w:val="24"/>
        </w:rPr>
      </w:pPr>
      <w:r>
        <w:rPr>
          <w:rFonts w:hint="eastAsia" w:hAnsi="宋体"/>
          <w:sz w:val="24"/>
          <w:szCs w:val="24"/>
        </w:rPr>
        <w:t xml:space="preserve">6.2.4履约保证金不予退还的情形：未按照本合同约定向经办机</w:t>
      </w:r>
      <w:r>
        <w:rPr>
          <w:rFonts w:hint="eastAsia" w:hAnsi="宋体"/>
          <w:sz w:val="24"/>
          <w:szCs w:val="24"/>
        </w:rPr>
        <w:t xml:space="preserve">构及时足额拨付大病保险理赔周转金的；向经办机构派驻的人员不符合合同约定的；因承办机构的派驻人员过错导致医保基金、大病保险资金损失的；违反保密义务的；有其他违反合同约定造成基金损失、损害参保人利益的行为。</w:t>
      </w:r>
      <w:r>
        <w:rPr>
          <w:rFonts w:hAnsi="宋体"/>
          <w:sz w:val="24"/>
          <w:szCs w:val="24"/>
        </w:rPr>
      </w:r>
      <w:r/>
    </w:p>
    <w:p>
      <w:pPr>
        <w:pStyle w:val="98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8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8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8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9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82"/>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每个保险年度内，经办机构根据上一年度全市实际参保人数和当年度筹资标准确定当年</w:t>
      </w:r>
      <w:r>
        <w:rPr>
          <w:rFonts w:hint="eastAsia" w:ascii="宋体" w:hAnsi="宋体"/>
          <w:sz w:val="24"/>
          <w:u w:val="single"/>
        </w:rPr>
        <w:t xml:space="preserve">大病保险保费预算总额，并于每季度向承办机构划转大病保险保费预算总额的25%。每个保险年度结束后，以当年度实际参保人数和筹资标准确定大病保险保费总额，进行全市统一保费清算，根据清算结果向承办机构划转保费差额。</w:t>
      </w:r>
      <w:r>
        <w:rPr>
          <w:rFonts w:ascii="宋体" w:hAnsi="宋体"/>
          <w:sz w:val="24"/>
        </w:rPr>
      </w:r>
      <w:r/>
    </w:p>
    <w:p>
      <w:pPr>
        <w:pStyle w:val="98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8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9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9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9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9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w:t>
      </w:r>
      <w:r>
        <w:rPr>
          <w:rFonts w:hint="eastAsia" w:hAnsi="宋体"/>
          <w:sz w:val="24"/>
          <w:szCs w:val="24"/>
        </w:rPr>
        <w:t xml:space="preserve">挂钩。履约验收的各项资料存档备查。</w:t>
      </w:r>
      <w:r/>
    </w:p>
    <w:p>
      <w:pPr>
        <w:pStyle w:val="99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w:t>
      </w:r>
      <w:r>
        <w:rPr>
          <w:rFonts w:hAnsi="宋体"/>
          <w:sz w:val="24"/>
          <w:szCs w:val="24"/>
        </w:rPr>
        <w:t xml:space="preserve">付违约金。</w:t>
      </w:r>
      <w:r/>
    </w:p>
    <w:p>
      <w:pPr>
        <w:pStyle w:val="99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w:t>
      </w:r>
      <w:r>
        <w:rPr>
          <w:rFonts w:hAnsi="宋体"/>
          <w:sz w:val="24"/>
          <w:szCs w:val="24"/>
        </w:rPr>
        <w:t xml:space="preserve">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9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9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9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95"/>
        <w:ind w:left="480" w:hanging="480"/>
        <w:spacing w:before="120" w:after="120" w:line="0" w:lineRule="atLeast"/>
        <w:rPr>
          <w:rFonts w:hAnsi="宋体"/>
          <w:sz w:val="24"/>
          <w:szCs w:val="24"/>
        </w:rPr>
      </w:pPr>
      <w:r>
        <w:rPr>
          <w:rFonts w:hAnsi="宋体"/>
          <w:sz w:val="24"/>
          <w:szCs w:val="24"/>
        </w:rPr>
        <w:t xml:space="preserve">  甲方：                        乙方： </w:t>
      </w:r>
      <w:r/>
    </w:p>
    <w:p>
      <w:pPr>
        <w:pStyle w:val="99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95"/>
        <w:jc w:val="center"/>
        <w:spacing w:before="120" w:after="120" w:line="0" w:lineRule="atLeast"/>
        <w:rPr>
          <w:rFonts w:hint="eastAsia" w:ascii="黑体" w:eastAsia="黑体"/>
          <w:bCs/>
          <w:sz w:val="44"/>
        </w:rPr>
      </w:pPr>
      <w:r>
        <w:rPr>
          <w:rFonts w:hint="eastAsia"/>
        </w:rPr>
        <w:t xml:space="preserve">                                          </w:t>
      </w:r>
      <w:r>
        <w:t xml:space="preserve">签订日期：      年</w:t>
      </w:r>
      <w:r>
        <w:t xml:space="preserve">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Hlt16619369"/>
      <w:r/>
      <w:bookmarkEnd w:id="191"/>
      <w:r/>
      <w:bookmarkStart w:id="192" w:name="_Toc479757211"/>
      <w:r/>
      <w:bookmarkStart w:id="193" w:name="_Toc462564139"/>
      <w:r/>
      <w:bookmarkStart w:id="194" w:name="_Toc120614281"/>
      <w:r/>
      <w:bookmarkStart w:id="195" w:name="_Toc26554093"/>
      <w:r/>
      <w:bookmarkStart w:id="196" w:name="_Toc49090575"/>
      <w:r>
        <w:rPr>
          <w:rFonts w:hint="eastAsia" w:ascii="黑体" w:eastAsia="黑体"/>
          <w:bCs/>
          <w:sz w:val="44"/>
        </w:rPr>
      </w:r>
      <w:r/>
    </w:p>
    <w:p>
      <w:pPr>
        <w:pStyle w:val="995"/>
        <w:jc w:val="center"/>
        <w:spacing w:before="120" w:after="120" w:line="0" w:lineRule="atLeast"/>
        <w:rPr>
          <w:rFonts w:hint="eastAsia" w:ascii="黑体" w:eastAsia="黑体"/>
          <w:bCs/>
          <w:sz w:val="44"/>
        </w:rPr>
      </w:pPr>
      <w:r>
        <w:rPr>
          <w:rFonts w:hint="eastAsia" w:ascii="黑体" w:eastAsia="黑体"/>
          <w:bCs/>
          <w:sz w:val="44"/>
        </w:rPr>
      </w:r>
      <w:r/>
    </w:p>
    <w:p>
      <w:pPr>
        <w:pStyle w:val="983"/>
        <w:rPr>
          <w:rFonts w:hint="eastAsia" w:ascii="黑体" w:eastAsia="黑体"/>
          <w:sz w:val="44"/>
        </w:rPr>
      </w:pPr>
      <w:r/>
      <w:bookmarkStart w:id="197" w:name="_Toc173761692"/>
      <w:r>
        <w:rPr>
          <w:rFonts w:hint="eastAsia" w:ascii="黑体" w:eastAsia="黑体"/>
          <w:sz w:val="44"/>
        </w:rPr>
        <w:t xml:space="preserve">第四章  采购需求</w:t>
      </w:r>
      <w:bookmarkEnd w:id="197"/>
      <w:r>
        <w:rPr>
          <w:rFonts w:hint="eastAsia" w:ascii="黑体" w:eastAsia="黑体"/>
          <w:sz w:val="44"/>
        </w:rPr>
      </w:r>
      <w:r/>
    </w:p>
    <w:p>
      <w:pPr>
        <w:pStyle w:val="1076"/>
        <w:numPr>
          <w:ilvl w:val="0"/>
          <w:numId w:val="5"/>
        </w:numPr>
        <w:jc w:val="both"/>
        <w:widowControl w:val="off"/>
        <w:rPr>
          <w:rFonts w:ascii="Times New Roman" w:hAnsi="Times New Roman"/>
          <w:b/>
        </w:rPr>
      </w:pPr>
      <w:r>
        <w:rPr>
          <w:rFonts w:ascii="Times New Roman" w:hAnsi="Times New Roman"/>
          <w:b/>
        </w:rPr>
        <w:t xml:space="preserve">采购标的</w:t>
      </w:r>
      <w:r/>
    </w:p>
    <w:p>
      <w:pPr>
        <w:pStyle w:val="982"/>
        <w:contextualSpacing/>
        <w:ind w:firstLine="480"/>
        <w:spacing w:line="360" w:lineRule="auto"/>
        <w:rPr>
          <w:rFonts w:hint="eastAsia" w:ascii="宋体" w:hAnsi="宋体" w:eastAsia="等线"/>
          <w:sz w:val="24"/>
          <w:szCs w:val="22"/>
        </w:rPr>
      </w:pPr>
      <w:r>
        <w:rPr>
          <w:rFonts w:ascii="宋体" w:hAnsi="宋体" w:eastAsia="等线"/>
          <w:sz w:val="24"/>
          <w:szCs w:val="22"/>
        </w:rPr>
        <w:t xml:space="preserve">1.</w:t>
      </w:r>
      <w:r>
        <w:rPr>
          <w:rFonts w:hint="eastAsia" w:ascii="宋体" w:hAnsi="宋体" w:eastAsia="等线"/>
          <w:sz w:val="24"/>
          <w:szCs w:val="22"/>
        </w:rPr>
        <w:t xml:space="preserve">项目名称：常州市2026-2028年度城乡居民大病保险项目</w:t>
      </w:r>
      <w:r/>
    </w:p>
    <w:p>
      <w:pPr>
        <w:pStyle w:val="982"/>
        <w:contextualSpacing/>
        <w:ind w:firstLine="480"/>
        <w:spacing w:line="360" w:lineRule="auto"/>
        <w:rPr>
          <w:rFonts w:ascii="宋体" w:hAnsi="宋体" w:eastAsia="等线"/>
          <w:sz w:val="24"/>
          <w:szCs w:val="22"/>
        </w:rPr>
      </w:pPr>
      <w:r>
        <w:rPr>
          <w:rFonts w:hint="eastAsia" w:ascii="宋体" w:hAnsi="宋体" w:eastAsia="等线"/>
          <w:sz w:val="24"/>
          <w:szCs w:val="22"/>
        </w:rPr>
        <w:t xml:space="preserve">2.预算金额：分包1：22794.77万元；分包2：10802.4971万元；分包3：8106.0426万元；分包4：5832.1253万元；分包5：3891.79万元；分包6：1945.895万元；分包7：1111.94万元；分包8：1111.94万元。</w:t>
      </w:r>
      <w:r>
        <w:rPr>
          <w:rFonts w:ascii="宋体" w:hAnsi="宋体" w:eastAsia="等线"/>
          <w:sz w:val="24"/>
          <w:szCs w:val="22"/>
        </w:rPr>
      </w:r>
      <w:r/>
    </w:p>
    <w:p>
      <w:pPr>
        <w:pStyle w:val="982"/>
        <w:contextualSpacing/>
        <w:ind w:firstLine="480"/>
        <w:spacing w:line="360" w:lineRule="auto"/>
        <w:rPr>
          <w:rFonts w:ascii="宋体" w:hAnsi="宋体" w:eastAsia="等线"/>
          <w:sz w:val="24"/>
          <w:szCs w:val="22"/>
        </w:rPr>
      </w:pPr>
      <w:r>
        <w:rPr>
          <w:rFonts w:hint="eastAsia" w:ascii="宋体" w:hAnsi="宋体" w:eastAsia="等线"/>
          <w:sz w:val="24"/>
          <w:szCs w:val="22"/>
        </w:rPr>
        <w:t xml:space="preserve">3.采购项目概况：为贯彻落实国家、省、市关于完善城乡居民大病保险制度的决策部署，根据《国务院办公厅关于全面实施城乡居民大病保险的意见》（国办发〔2015〕57号）、《关于建立和完善统一的城乡居民大病保险制度的指导意见》（苏医保发〔2019〕103号）、《市政府办公室关于建立和</w:t>
      </w:r>
      <w:r>
        <w:rPr>
          <w:rFonts w:hint="eastAsia" w:ascii="宋体" w:hAnsi="宋体" w:eastAsia="等线"/>
          <w:sz w:val="24"/>
          <w:szCs w:val="22"/>
        </w:rPr>
        <w:t xml:space="preserve">完善统一的大病保险制度的实施意见》（常政办发〔2021〕70号）等文件精神，本次我市通过公开招标方式采购商业保险机构承办常州市城乡居民大病保险业务（以下简称“大病保险”），招标后实行市级统筹、统一管理、专款专用，并充分发挥市场机制作用和商业保险机构专业优势，提升大病保险运行效率和服务水平。</w:t>
      </w:r>
      <w:r>
        <w:rPr>
          <w:rFonts w:ascii="宋体" w:hAnsi="宋体" w:eastAsia="等线"/>
          <w:sz w:val="24"/>
          <w:szCs w:val="22"/>
        </w:rPr>
      </w:r>
      <w:r/>
    </w:p>
    <w:p>
      <w:pPr>
        <w:pStyle w:val="982"/>
        <w:contextualSpacing/>
        <w:ind w:firstLine="480"/>
        <w:spacing w:line="360" w:lineRule="auto"/>
        <w:rPr>
          <w:rFonts w:ascii="宋体" w:hAnsi="宋体" w:eastAsia="等线"/>
          <w:sz w:val="24"/>
          <w:szCs w:val="22"/>
        </w:rPr>
      </w:pPr>
      <w:r>
        <w:rPr>
          <w:rFonts w:hint="eastAsia" w:ascii="宋体" w:hAnsi="宋体" w:eastAsia="等线"/>
          <w:sz w:val="24"/>
          <w:szCs w:val="22"/>
        </w:rPr>
        <w:t xml:space="preserve">大病保险，是在职工和城乡居民基本医疗保险制度基础上，对经基本医疗保险保障后个人自付</w:t>
      </w:r>
      <w:r>
        <w:rPr>
          <w:rFonts w:hint="eastAsia" w:ascii="宋体" w:hAnsi="宋体" w:eastAsia="等线"/>
          <w:sz w:val="24"/>
          <w:szCs w:val="22"/>
        </w:rPr>
        <w:t xml:space="preserve">医疗费用仍然达到一定水平的符合条件的患者给予进一步保障的一项制度性安排，是基本医保的拓展和延伸。通过大病保险，促进政府主导与市场机制作用有效结合，建立健全多层次医疗保障体系，进一步减轻参保人员医疗费用负担，有效解决群众因病致贫、因病返贫问题。</w:t>
      </w:r>
      <w:r>
        <w:rPr>
          <w:rFonts w:ascii="宋体" w:hAnsi="宋体" w:eastAsia="等线"/>
          <w:sz w:val="24"/>
          <w:szCs w:val="22"/>
        </w:rPr>
      </w:r>
      <w:r/>
    </w:p>
    <w:p>
      <w:pPr>
        <w:pStyle w:val="982"/>
        <w:contextualSpacing/>
        <w:ind w:firstLine="480"/>
        <w:spacing w:line="360" w:lineRule="auto"/>
        <w:rPr>
          <w:rFonts w:ascii="宋体" w:hAnsi="宋体" w:eastAsia="等线"/>
          <w:sz w:val="24"/>
          <w:szCs w:val="22"/>
        </w:rPr>
      </w:pPr>
      <w:r>
        <w:rPr>
          <w:rFonts w:hint="eastAsia" w:ascii="宋体" w:hAnsi="宋体" w:eastAsia="等线"/>
          <w:sz w:val="24"/>
          <w:szCs w:val="22"/>
        </w:rPr>
        <w:t xml:space="preserve">此次将通过公开招标方式确定2026年1月1日至2028年12月31日承办常州市大病保险服务的商业保险机构。 </w:t>
      </w:r>
      <w:r>
        <w:rPr>
          <w:rFonts w:ascii="宋体" w:hAnsi="宋体" w:eastAsia="等线"/>
          <w:sz w:val="24"/>
          <w:szCs w:val="22"/>
        </w:rPr>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4.合同履行期限：2026年1月1日至2028年12月31日</w:t>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5.是/否接受联合体投标：不接受</w:t>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6.</w:t>
      </w:r>
      <w:r>
        <w:rPr>
          <w:rFonts w:ascii="宋体" w:hAnsi="宋体" w:eastAsia="等线"/>
          <w:sz w:val="24"/>
          <w:szCs w:val="22"/>
        </w:rPr>
        <w:t xml:space="preserve">是</w:t>
      </w:r>
      <w:r>
        <w:rPr>
          <w:rFonts w:hint="eastAsia" w:ascii="宋体" w:hAnsi="宋体" w:eastAsia="等线"/>
          <w:sz w:val="24"/>
          <w:szCs w:val="22"/>
        </w:rPr>
        <w:t xml:space="preserve">/</w:t>
      </w:r>
      <w:r>
        <w:rPr>
          <w:rFonts w:ascii="宋体" w:hAnsi="宋体" w:eastAsia="等线"/>
          <w:sz w:val="24"/>
          <w:szCs w:val="22"/>
        </w:rPr>
        <w:t xml:space="preserve">否接受分支机构参与响应：</w:t>
      </w:r>
      <w:r>
        <w:rPr>
          <w:rFonts w:hint="eastAsia" w:ascii="宋体" w:hAnsi="宋体" w:eastAsia="等线"/>
          <w:sz w:val="24"/>
          <w:szCs w:val="22"/>
        </w:rPr>
        <w:t xml:space="preserve">接受</w:t>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7.</w:t>
      </w:r>
      <w:r>
        <w:rPr>
          <w:rFonts w:ascii="宋体" w:hAnsi="宋体" w:eastAsia="等线"/>
          <w:sz w:val="24"/>
          <w:szCs w:val="22"/>
        </w:rPr>
        <w:t xml:space="preserve">是</w:t>
      </w:r>
      <w:r>
        <w:rPr>
          <w:rFonts w:hint="eastAsia" w:ascii="宋体" w:hAnsi="宋体" w:eastAsia="等线"/>
          <w:sz w:val="24"/>
          <w:szCs w:val="22"/>
        </w:rPr>
        <w:t xml:space="preserve">/</w:t>
      </w:r>
      <w:r>
        <w:rPr>
          <w:rFonts w:ascii="宋体" w:hAnsi="宋体" w:eastAsia="等线"/>
          <w:sz w:val="24"/>
          <w:szCs w:val="22"/>
        </w:rPr>
        <w:t xml:space="preserve">否属于政府购买服务：</w:t>
      </w:r>
      <w:r>
        <w:rPr>
          <w:rFonts w:hint="eastAsia" w:ascii="宋体" w:hAnsi="宋体" w:eastAsia="等线"/>
          <w:sz w:val="24"/>
          <w:szCs w:val="22"/>
        </w:rPr>
        <w:t xml:space="preserve">否</w:t>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8.</w:t>
      </w:r>
      <w:r>
        <w:rPr>
          <w:rFonts w:ascii="宋体" w:hAnsi="宋体" w:eastAsia="等线"/>
          <w:sz w:val="24"/>
          <w:szCs w:val="22"/>
        </w:rPr>
        <w:t xml:space="preserve">是</w:t>
      </w:r>
      <w:r>
        <w:rPr>
          <w:rFonts w:hint="eastAsia" w:ascii="宋体" w:hAnsi="宋体" w:eastAsia="等线"/>
          <w:sz w:val="24"/>
          <w:szCs w:val="22"/>
        </w:rPr>
        <w:t xml:space="preserve">/</w:t>
      </w:r>
      <w:r>
        <w:rPr>
          <w:rFonts w:ascii="宋体" w:hAnsi="宋体" w:eastAsia="等线"/>
          <w:sz w:val="24"/>
          <w:szCs w:val="22"/>
        </w:rPr>
        <w:t xml:space="preserve">否接受</w:t>
      </w:r>
      <w:r>
        <w:rPr>
          <w:rFonts w:hint="eastAsia" w:ascii="宋体" w:hAnsi="宋体" w:eastAsia="等线"/>
          <w:sz w:val="24"/>
          <w:szCs w:val="22"/>
        </w:rPr>
        <w:t xml:space="preserve">进口产品投标：否</w:t>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9.是/否</w:t>
      </w:r>
      <w:r>
        <w:rPr>
          <w:rFonts w:ascii="宋体" w:hAnsi="宋体" w:eastAsia="等线"/>
          <w:sz w:val="24"/>
          <w:szCs w:val="22"/>
        </w:rPr>
        <w:t xml:space="preserve">专门面向中小企业预留采购份额</w:t>
      </w:r>
      <w:r>
        <w:rPr>
          <w:rFonts w:hint="eastAsia" w:ascii="宋体" w:hAnsi="宋体" w:eastAsia="等线"/>
          <w:sz w:val="24"/>
          <w:szCs w:val="22"/>
        </w:rPr>
        <w:t xml:space="preserve">：否</w:t>
      </w:r>
      <w:r/>
    </w:p>
    <w:p>
      <w:pPr>
        <w:pStyle w:val="982"/>
        <w:ind w:firstLine="480"/>
        <w:rPr>
          <w:rFonts w:hint="eastAsia"/>
        </w:rPr>
      </w:pPr>
      <w:r>
        <w:rPr>
          <w:rFonts w:hint="eastAsia" w:ascii="宋体" w:hAnsi="宋体" w:eastAsia="等线"/>
          <w:sz w:val="24"/>
          <w:szCs w:val="22"/>
        </w:rPr>
        <w:t xml:space="preserve">10.本项目的特定资格要求：</w:t>
      </w:r>
      <w:r>
        <w:rPr>
          <w:rFonts w:hint="eastAsia" w:ascii="等线" w:hAnsi="等线" w:eastAsia="等线"/>
          <w:sz w:val="24"/>
          <w:szCs w:val="24"/>
        </w:rPr>
        <w:t xml:space="preserve">（1）投标人或投标人所属省级公司必须在中国银行保险监督管理委员会江苏监管局公示的大病保险经营资质名单中；（2）</w:t>
      </w:r>
      <w:r>
        <w:rPr>
          <w:rFonts w:hint="eastAsia" w:ascii="等线" w:hAnsi="等线" w:eastAsia="等线"/>
          <w:sz w:val="24"/>
          <w:szCs w:val="24"/>
        </w:rPr>
        <w:t xml:space="preserve">同一保险集团公司参与同一分包的子公司仅限一</w:t>
      </w:r>
      <w:r>
        <w:rPr>
          <w:rFonts w:hint="eastAsia" w:ascii="等线" w:hAnsi="等线" w:eastAsia="等线"/>
          <w:sz w:val="24"/>
          <w:szCs w:val="24"/>
        </w:rPr>
        <w:t xml:space="preserve">家</w:t>
      </w:r>
      <w:r>
        <w:rPr>
          <w:rFonts w:hint="eastAsia" w:ascii="等线" w:hAnsi="等线" w:eastAsia="等线"/>
          <w:sz w:val="24"/>
          <w:szCs w:val="24"/>
        </w:rPr>
        <w:t xml:space="preserve">；（3）同一保险总公司仅能授权其一家地市级及以上分支机构参与，须提供总公司的法人企业授权书。</w:t>
      </w:r>
      <w:r>
        <w:rPr>
          <w:rFonts w:hint="eastAsia"/>
        </w:rPr>
      </w:r>
      <w:r/>
    </w:p>
    <w:p>
      <w:pPr>
        <w:pStyle w:val="982"/>
        <w:contextualSpacing/>
        <w:ind w:firstLine="480"/>
        <w:spacing w:line="360" w:lineRule="auto"/>
        <w:rPr>
          <w:rFonts w:hint="eastAsia" w:ascii="宋体" w:hAnsi="宋体" w:eastAsia="等线"/>
          <w:sz w:val="24"/>
          <w:szCs w:val="22"/>
        </w:rPr>
      </w:pPr>
      <w:r>
        <w:rPr>
          <w:rFonts w:hint="eastAsia" w:ascii="宋体" w:hAnsi="宋体" w:eastAsia="等线"/>
          <w:sz w:val="24"/>
          <w:szCs w:val="22"/>
        </w:rPr>
        <w:t xml:space="preserve">12.项目类别：服务类</w:t>
      </w:r>
      <w:r/>
    </w:p>
    <w:p>
      <w:pPr>
        <w:pStyle w:val="982"/>
        <w:rPr>
          <w:rFonts w:ascii="宋体" w:hAnsi="宋体"/>
          <w:sz w:val="24"/>
        </w:rPr>
      </w:pPr>
      <w:r>
        <w:rPr>
          <w:rFonts w:ascii="宋体" w:hAnsi="宋体"/>
          <w:sz w:val="24"/>
        </w:rPr>
      </w:r>
      <w:r/>
    </w:p>
    <w:p>
      <w:pPr>
        <w:pStyle w:val="1076"/>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82"/>
        <w:ind w:firstLine="482"/>
        <w:spacing w:line="360" w:lineRule="auto"/>
        <w:rPr>
          <w:rFonts w:ascii="宋体" w:hAnsi="宋体"/>
          <w:b/>
          <w:bCs/>
          <w:sz w:val="24"/>
        </w:rPr>
      </w:pPr>
      <w:r>
        <w:rPr>
          <w:rFonts w:hint="eastAsia" w:ascii="宋体" w:hAnsi="宋体"/>
          <w:b/>
          <w:bCs/>
          <w:sz w:val="24"/>
        </w:rPr>
        <w:t xml:space="preserve">（一）保障情况</w:t>
      </w:r>
      <w:r>
        <w:rPr>
          <w:rFonts w:ascii="宋体" w:hAnsi="宋体"/>
          <w:b/>
          <w:bCs/>
          <w:sz w:val="24"/>
        </w:rPr>
      </w:r>
      <w:r/>
    </w:p>
    <w:p>
      <w:pPr>
        <w:pStyle w:val="982"/>
        <w:ind w:firstLine="482"/>
        <w:spacing w:line="360" w:lineRule="auto"/>
        <w:rPr>
          <w:rFonts w:ascii="宋体" w:hAnsi="宋体"/>
          <w:b/>
          <w:bCs/>
          <w:sz w:val="24"/>
        </w:rPr>
      </w:pPr>
      <w:r>
        <w:rPr>
          <w:rFonts w:hint="eastAsia" w:ascii="宋体" w:hAnsi="宋体"/>
          <w:b/>
          <w:bCs/>
          <w:sz w:val="24"/>
        </w:rPr>
        <w:t xml:space="preserve">1.保障对象</w:t>
      </w:r>
      <w:r>
        <w:rPr>
          <w:rFonts w:ascii="宋体" w:hAnsi="宋体"/>
          <w:b/>
          <w:bCs/>
          <w:sz w:val="24"/>
        </w:rPr>
      </w:r>
      <w:r/>
    </w:p>
    <w:p>
      <w:pPr>
        <w:pStyle w:val="982"/>
        <w:ind w:firstLine="480"/>
        <w:spacing w:line="360" w:lineRule="auto"/>
        <w:rPr>
          <w:rFonts w:ascii="宋体" w:hAnsi="宋体"/>
          <w:color w:val="000000"/>
          <w:sz w:val="24"/>
        </w:rPr>
      </w:pPr>
      <w:r>
        <w:rPr>
          <w:rFonts w:hint="eastAsia" w:ascii="宋体" w:hAnsi="宋体"/>
          <w:color w:val="000000"/>
          <w:sz w:val="24"/>
        </w:rPr>
        <w:t xml:space="preserve">大病保险覆盖所有参加常州市职工基本医疗保险（以下简称职工医保）和城乡居民基本医疗保险的（以下简称居民医保）参保人员。</w:t>
      </w:r>
      <w:r>
        <w:rPr>
          <w:rFonts w:ascii="宋体" w:hAnsi="宋体"/>
          <w:color w:val="000000"/>
          <w:sz w:val="24"/>
        </w:rPr>
      </w:r>
      <w:r/>
    </w:p>
    <w:p>
      <w:pPr>
        <w:pStyle w:val="982"/>
        <w:ind w:firstLine="482"/>
        <w:spacing w:line="360" w:lineRule="auto"/>
        <w:rPr>
          <w:rFonts w:ascii="宋体" w:hAnsi="宋体"/>
          <w:b/>
          <w:bCs/>
          <w:sz w:val="24"/>
        </w:rPr>
      </w:pPr>
      <w:r>
        <w:rPr>
          <w:rFonts w:hint="eastAsia" w:ascii="宋体" w:hAnsi="宋体"/>
          <w:b/>
          <w:bCs/>
          <w:sz w:val="24"/>
        </w:rPr>
        <w:t xml:space="preserve">2.保障范围</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参保人员一个年度内在定点医药机构发生的医疗费用，经基本医疗保险补偿后，个人负担超过一定水平的住院和特定病的合规医疗费用，纳入大病保险保障范围。</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合规医疗费用是指参保人员因住院和门诊特定病发生的《江苏省基本医疗保险、工伤保险和生育保险药品目录》、《江苏省基本医疗保险诊疗项目和医疗服务设施范围及支付标准》规定的除自费费用以外的个人自付医疗费用。其中住院床位费为基本医疗保险支付限额以内的费用，特殊医用材料费为单价8</w:t>
      </w:r>
      <w:r>
        <w:rPr>
          <w:rFonts w:ascii="宋体" w:hAnsi="宋体"/>
          <w:sz w:val="24"/>
        </w:rPr>
        <w:t xml:space="preserve">万以内的费用。</w:t>
      </w:r>
      <w:r/>
    </w:p>
    <w:p>
      <w:pPr>
        <w:pStyle w:val="1043"/>
        <w:ind w:firstLine="480"/>
        <w:jc w:val="left"/>
        <w:rPr>
          <w:rFonts w:ascii="宋体" w:hAnsi="宋体"/>
          <w:sz w:val="24"/>
        </w:rPr>
      </w:pPr>
      <w:r>
        <w:rPr>
          <w:rFonts w:ascii="宋体" w:hAnsi="宋体"/>
          <w:sz w:val="24"/>
        </w:rPr>
        <w:t xml:space="preserve">大病保险保障范围由市</w:t>
      </w:r>
      <w:r>
        <w:rPr>
          <w:rFonts w:hint="eastAsia" w:ascii="宋体" w:hAnsi="宋体"/>
          <w:sz w:val="24"/>
        </w:rPr>
        <w:t xml:space="preserve">医疗保障</w:t>
      </w:r>
      <w:r>
        <w:rPr>
          <w:rFonts w:ascii="宋体" w:hAnsi="宋体"/>
          <w:sz w:val="24"/>
        </w:rPr>
        <w:t xml:space="preserve">部门根据上级要求</w:t>
      </w:r>
      <w:r>
        <w:rPr>
          <w:rFonts w:ascii="宋体" w:hAnsi="宋体"/>
          <w:sz w:val="24"/>
        </w:rPr>
        <w:t xml:space="preserve">和实际情况适时调整并公布。</w:t>
      </w:r>
      <w:r/>
    </w:p>
    <w:p>
      <w:pPr>
        <w:pStyle w:val="982"/>
        <w:ind w:firstLine="482"/>
        <w:spacing w:line="360" w:lineRule="auto"/>
        <w:rPr>
          <w:rFonts w:ascii="宋体" w:hAnsi="宋体"/>
          <w:b/>
          <w:bCs/>
          <w:sz w:val="24"/>
        </w:rPr>
      </w:pPr>
      <w:r>
        <w:rPr>
          <w:rFonts w:hint="eastAsia" w:ascii="宋体" w:hAnsi="宋体"/>
          <w:b/>
          <w:bCs/>
          <w:sz w:val="24"/>
        </w:rPr>
        <w:t xml:space="preserve">3.保障水平 </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大病保险起付标准原则上以上一年度常州市居民人均可支配收入的</w:t>
      </w:r>
      <w:r>
        <w:rPr>
          <w:rFonts w:ascii="宋体" w:hAnsi="宋体"/>
          <w:sz w:val="24"/>
        </w:rPr>
        <w:t xml:space="preserve">50%为参考，建立起付标准动态调整机制。起付标准以上，按合规医疗费用高低分段确定支付比例，合规医疗费用越高支付比例越高。</w:t>
      </w:r>
      <w:r/>
    </w:p>
    <w:p>
      <w:pPr>
        <w:pStyle w:val="982"/>
        <w:ind w:firstLine="480"/>
        <w:spacing w:line="360" w:lineRule="auto"/>
        <w:rPr>
          <w:rFonts w:ascii="宋体" w:hAnsi="宋体"/>
          <w:sz w:val="24"/>
        </w:rPr>
      </w:pPr>
      <w:r>
        <w:rPr>
          <w:rFonts w:hint="eastAsia" w:ascii="宋体" w:hAnsi="宋体"/>
          <w:sz w:val="24"/>
        </w:rPr>
        <w:t xml:space="preserve">（1）全市大病保险起付标准暂定为2万</w:t>
      </w:r>
      <w:r>
        <w:rPr>
          <w:rFonts w:hint="eastAsia" w:ascii="宋体" w:hAnsi="宋体"/>
          <w:sz w:val="24"/>
        </w:rPr>
        <w:t xml:space="preserve">元，超过2万元至10万元以内的部分补偿60%，超过10万元至50万元（根据政策适时调整）以内的部分补偿70%。</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（2）对城乡困难群众医疗救助对象发生的合规医疗费用，大病保险不设起付标准，2万元以内的部分补偿60%，超过2万元至10万元以内的部分补偿70%，超过10万元至50万元（根据政策适时调整）以内的部分补偿80%。</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（3）对纳入省“双通道”管理单独支付的药品及我市特定病药品管理范围的医疗费用，按我市“双通道”管理单独支付药品及特定病药品的政策规定支付。</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（4）参保人员在市外异地就医发生的属于大病保险保障范围的医疗费用，按我市异地就医的政策规定执行。</w:t>
      </w:r>
      <w:r>
        <w:rPr>
          <w:rFonts w:ascii="宋体" w:hAnsi="宋体"/>
          <w:sz w:val="24"/>
        </w:rPr>
      </w:r>
      <w:r/>
    </w:p>
    <w:p>
      <w:pPr>
        <w:pStyle w:val="982"/>
        <w:ind w:firstLine="480"/>
        <w:spacing w:line="360" w:lineRule="auto"/>
        <w:rPr>
          <w:rFonts w:ascii="宋体" w:hAnsi="宋体"/>
          <w:sz w:val="24"/>
        </w:rPr>
      </w:pPr>
      <w:r>
        <w:rPr>
          <w:rFonts w:ascii="宋体" w:hAnsi="宋体"/>
          <w:sz w:val="24"/>
        </w:rPr>
        <w:t xml:space="preserve">大病保险保障</w:t>
      </w:r>
      <w:r>
        <w:rPr>
          <w:rFonts w:hint="eastAsia" w:ascii="宋体" w:hAnsi="宋体"/>
          <w:sz w:val="24"/>
        </w:rPr>
        <w:t xml:space="preserve">水平</w:t>
      </w:r>
      <w:r>
        <w:rPr>
          <w:rFonts w:ascii="宋体" w:hAnsi="宋体"/>
          <w:sz w:val="24"/>
        </w:rPr>
        <w:t xml:space="preserve">由市</w:t>
      </w:r>
      <w:r>
        <w:rPr>
          <w:rFonts w:hint="eastAsia" w:ascii="宋体" w:hAnsi="宋体"/>
          <w:sz w:val="24"/>
        </w:rPr>
        <w:t xml:space="preserve">医疗保障</w:t>
      </w:r>
      <w:r>
        <w:rPr>
          <w:rFonts w:ascii="宋体" w:hAnsi="宋体"/>
          <w:sz w:val="24"/>
        </w:rPr>
        <w:t xml:space="preserve">部门根据上级要求和实际情况适时调整并公布。</w:t>
      </w:r>
      <w:r/>
    </w:p>
    <w:p>
      <w:pPr>
        <w:pStyle w:val="982"/>
        <w:numPr>
          <w:ilvl w:val="0"/>
          <w:numId w:val="6"/>
        </w:numPr>
        <w:spacing w:line="360" w:lineRule="auto"/>
        <w:rPr>
          <w:rFonts w:ascii="宋体" w:hAnsi="宋体"/>
          <w:b/>
          <w:bCs/>
          <w:sz w:val="24"/>
        </w:rPr>
      </w:pPr>
      <w:r>
        <w:rPr>
          <w:rFonts w:hint="eastAsia" w:ascii="宋体" w:hAnsi="宋体"/>
          <w:b/>
          <w:bCs/>
          <w:sz w:val="24"/>
        </w:rPr>
        <w:t xml:space="preserve">保费管理</w:t>
      </w:r>
      <w:r>
        <w:rPr>
          <w:rFonts w:ascii="宋体" w:hAnsi="宋体"/>
          <w:b/>
          <w:bCs/>
          <w:sz w:val="24"/>
        </w:rPr>
      </w:r>
      <w:r/>
    </w:p>
    <w:p>
      <w:pPr>
        <w:pStyle w:val="982"/>
        <w:ind w:firstLine="482"/>
        <w:spacing w:line="360" w:lineRule="auto"/>
        <w:rPr>
          <w:rFonts w:ascii="宋体" w:hAnsi="宋体"/>
          <w:b/>
          <w:bCs/>
          <w:sz w:val="24"/>
        </w:rPr>
      </w:pPr>
      <w:r>
        <w:rPr>
          <w:rFonts w:hint="eastAsia" w:ascii="宋体" w:hAnsi="宋体"/>
          <w:b/>
          <w:bCs/>
          <w:sz w:val="24"/>
        </w:rPr>
        <w:t xml:space="preserve">1.资金筹集</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大病保险资金规模根据参保人数、人均筹资标准进行确定。其中，参保人数按职工医保和居民医保当年实际参保人数计算(</w:t>
      </w:r>
      <w:r>
        <w:rPr>
          <w:rFonts w:hint="eastAsia" w:ascii="宋体" w:hAnsi="宋体"/>
          <w:sz w:val="24"/>
          <w:szCs w:val="22"/>
        </w:rPr>
        <w:t xml:space="preserve">即每月末参保人数之和除以12</w:t>
      </w:r>
      <w:r>
        <w:rPr>
          <w:rFonts w:hint="eastAsia" w:ascii="宋体" w:hAnsi="宋体"/>
          <w:sz w:val="24"/>
        </w:rPr>
        <w:t xml:space="preserve">)；</w:t>
      </w:r>
      <w:r>
        <w:rPr>
          <w:rFonts w:ascii="宋体" w:hAnsi="宋体"/>
          <w:sz w:val="24"/>
        </w:rPr>
        <w:t xml:space="preserve">人均筹资标准</w:t>
      </w:r>
      <w:r>
        <w:rPr>
          <w:rFonts w:hint="eastAsia" w:ascii="宋体" w:hAnsi="宋体"/>
          <w:sz w:val="24"/>
        </w:rPr>
        <w:t xml:space="preserve">综合考虑</w:t>
      </w:r>
      <w:r>
        <w:rPr>
          <w:rFonts w:ascii="宋体" w:hAnsi="宋体"/>
          <w:sz w:val="24"/>
        </w:rPr>
        <w:t xml:space="preserve">基本医疗保险基金收支、大病保险资金支出情况及政策调整因素，由市医疗保障部门会同财政部门实行动态调整</w:t>
      </w:r>
      <w:r>
        <w:rPr>
          <w:rFonts w:hint="eastAsia" w:ascii="宋体" w:hAnsi="宋体"/>
          <w:sz w:val="24"/>
        </w:rPr>
        <w:t xml:space="preserve">并</w:t>
      </w:r>
      <w:r>
        <w:rPr>
          <w:rFonts w:ascii="宋体" w:hAnsi="宋体"/>
          <w:sz w:val="24"/>
        </w:rPr>
        <w:t xml:space="preserve">公布。202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度全市大病保险筹资标准暂定为职工医保每人每年150元，居民医保每人每年80元</w:t>
      </w:r>
      <w:r>
        <w:rPr>
          <w:rFonts w:ascii="宋体" w:hAnsi="宋体"/>
          <w:sz w:val="24"/>
        </w:rPr>
        <w:t xml:space="preserve">。</w:t>
      </w:r>
      <w:r/>
    </w:p>
    <w:p>
      <w:pPr>
        <w:pStyle w:val="982"/>
        <w:ind w:firstLine="480"/>
        <w:spacing w:line="360" w:lineRule="auto"/>
        <w:rPr>
          <w:rFonts w:ascii="宋体" w:hAnsi="宋体"/>
          <w:sz w:val="24"/>
        </w:rPr>
      </w:pPr>
      <w:r>
        <w:rPr>
          <w:rFonts w:hint="eastAsia" w:ascii="宋体" w:hAnsi="宋体"/>
          <w:sz w:val="24"/>
        </w:rPr>
        <w:t xml:space="preserve">2025年6</w:t>
      </w:r>
      <w:r>
        <w:rPr>
          <w:rFonts w:hint="eastAsia" w:ascii="宋体" w:hAnsi="宋体"/>
          <w:sz w:val="24"/>
        </w:rPr>
        <w:t xml:space="preserve">月30日本项目涉及的参保人数为456.18万人，其中职工参保人数272.89万人，居民参保人数183.29万人，最终以每个保险年度实际参保人数为准。</w:t>
      </w:r>
      <w:r>
        <w:rPr>
          <w:rFonts w:ascii="宋体" w:hAnsi="宋体"/>
          <w:sz w:val="24"/>
        </w:rPr>
      </w:r>
      <w:r/>
    </w:p>
    <w:p>
      <w:pPr>
        <w:pStyle w:val="982"/>
        <w:ind w:firstLine="480"/>
        <w:spacing w:line="360" w:lineRule="auto"/>
        <w:rPr>
          <w:rFonts w:hint="eastAsia" w:ascii="宋体" w:hAnsi="宋体"/>
          <w:sz w:val="24"/>
          <w:highlight w:val="yellow"/>
        </w:rPr>
      </w:pPr>
      <w:r>
        <w:rPr>
          <w:rFonts w:hint="eastAsia" w:ascii="宋体" w:hAnsi="宋体"/>
          <w:sz w:val="24"/>
        </w:rPr>
        <w:t xml:space="preserve">本项目属于</w:t>
      </w:r>
      <w:r>
        <w:rPr>
          <w:rFonts w:hint="eastAsia" w:ascii="宋体" w:hAnsi="宋体"/>
          <w:sz w:val="24"/>
        </w:rPr>
        <w:t xml:space="preserve">采用固定价格采购的项目，</w:t>
      </w:r>
      <w:r>
        <w:rPr>
          <w:rFonts w:hint="eastAsia" w:ascii="宋体" w:hAnsi="宋体"/>
          <w:sz w:val="24"/>
        </w:rPr>
        <w:t xml:space="preserve">按照《市政府办公室关于建立和完善统一的大病保险制度的实施意见》(常政办发〔2021〕70号)等文件规定，以当年实际参保人</w:t>
      </w:r>
      <w:r>
        <w:rPr>
          <w:rFonts w:hint="eastAsia" w:ascii="宋体" w:hAnsi="宋体"/>
          <w:sz w:val="24"/>
        </w:rPr>
        <w:t xml:space="preserve">数结合人均筹资标准确定大病保险保费，大病保险保费用于参保人员大病保险理赔，扣除运行成本和盈利额后结余的大病保险保费需归还基金，价格不列为评审因素。</w:t>
      </w:r>
      <w:r>
        <w:rPr>
          <w:rFonts w:hint="eastAsia" w:ascii="宋体" w:hAnsi="宋体"/>
          <w:sz w:val="24"/>
          <w:highlight w:val="yellow"/>
        </w:rPr>
      </w:r>
      <w:r/>
    </w:p>
    <w:p>
      <w:pPr>
        <w:pStyle w:val="982"/>
        <w:ind w:firstLine="482"/>
        <w:rPr>
          <w:rFonts w:ascii="宋体" w:hAnsi="宋体" w:cs="宋体"/>
          <w:b/>
          <w:bCs/>
          <w:color w:val="000000"/>
          <w:sz w:val="24"/>
        </w:rPr>
      </w:pPr>
      <w:r>
        <w:rPr>
          <w:rFonts w:hint="eastAsia" w:ascii="宋体" w:hAnsi="宋体"/>
          <w:b/>
          <w:bCs/>
          <w:sz w:val="24"/>
        </w:rPr>
        <w:t xml:space="preserve">2.</w:t>
      </w:r>
      <w:r>
        <w:rPr>
          <w:rFonts w:hint="eastAsia" w:ascii="宋体" w:hAnsi="宋体" w:cs="宋体"/>
          <w:b/>
          <w:bCs/>
          <w:color w:val="000000"/>
          <w:sz w:val="24"/>
        </w:rPr>
        <w:t xml:space="preserve">保费拨付</w:t>
      </w:r>
      <w:r>
        <w:rPr>
          <w:rFonts w:ascii="宋体" w:hAnsi="宋体" w:cs="宋体"/>
          <w:b/>
          <w:bCs/>
          <w:color w:val="000000"/>
          <w:sz w:val="24"/>
        </w:rPr>
      </w:r>
      <w:r/>
    </w:p>
    <w:p>
      <w:pPr>
        <w:pStyle w:val="982"/>
        <w:ind w:firstLine="480"/>
        <w:spacing w:line="360" w:lineRule="auto"/>
        <w:rPr>
          <w:rFonts w:ascii="宋体" w:hAnsi="宋体"/>
          <w:sz w:val="24"/>
        </w:rPr>
      </w:pPr>
      <w:r>
        <w:rPr>
          <w:rFonts w:hint="eastAsia" w:ascii="宋体" w:hAnsi="宋体"/>
          <w:sz w:val="24"/>
        </w:rPr>
        <w:t xml:space="preserve">每个保险年度内，经办机构根据上一年度全市实际参保人数和当年度筹资标准确定当年大病保险保费预算总额，并于每季度向承办机构划转大病保险保费预算总额的25%。</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3.履约保证金管理</w:t>
      </w:r>
      <w:r>
        <w:rPr>
          <w:rFonts w:ascii="宋体" w:hAnsi="宋体"/>
          <w:b/>
          <w:bCs/>
          <w:sz w:val="24"/>
        </w:rPr>
      </w:r>
      <w:r/>
    </w:p>
    <w:p>
      <w:pPr>
        <w:pStyle w:val="982"/>
        <w:ind w:firstLine="480"/>
        <w:spacing w:line="360" w:lineRule="auto"/>
        <w:rPr>
          <w:rFonts w:ascii="宋体" w:hAnsi="宋体"/>
          <w:color w:val="000000"/>
          <w:sz w:val="24"/>
        </w:rPr>
      </w:pPr>
      <w:r>
        <w:rPr>
          <w:rFonts w:hint="eastAsia" w:ascii="宋体" w:hAnsi="宋体"/>
          <w:color w:val="000000"/>
          <w:sz w:val="24"/>
        </w:rPr>
        <w:t xml:space="preserve">在签订本合同之前，承办机构须向经办机构按2026年大病保险保费预算总额的1%缴纳履约保证金，履约保证金存入经办机构指定银行账户且不计利息。若承办机构服务期限届满且不存在未履行相关承诺的情形的，经办机构将于本项目清算结束后7日内原路无息退回履约保证金；若承办机构在服务期限内发生违约或者产生损害赔偿的，经办机构有权优先从履约保证金中扣除违约金，并进一步追究赔偿责任。供应商可以自主选择以支票、汇票、本票、保函（保险）等非现金形式交纳或提交，按照省市有关文件精神，鼓励优先采用电子履约保函（保险）形式。</w:t>
      </w:r>
      <w:r>
        <w:rPr>
          <w:rFonts w:ascii="宋体" w:hAnsi="宋体"/>
          <w:color w:val="000000"/>
          <w:sz w:val="24"/>
        </w:rPr>
      </w:r>
      <w:r/>
    </w:p>
    <w:p>
      <w:pPr>
        <w:pStyle w:val="982"/>
        <w:ind w:firstLine="480"/>
        <w:spacing w:line="360" w:lineRule="auto"/>
        <w:rPr>
          <w:rFonts w:ascii="宋体" w:hAnsi="宋体"/>
          <w:color w:val="000000"/>
          <w:sz w:val="24"/>
        </w:rPr>
      </w:pPr>
      <w:r>
        <w:rPr>
          <w:rFonts w:hint="eastAsia" w:ascii="宋体" w:hAnsi="宋体"/>
          <w:color w:val="000000"/>
          <w:sz w:val="24"/>
        </w:rPr>
        <w:t xml:space="preserve">履约保证金不予退还的情形:</w:t>
      </w:r>
      <w:r>
        <w:rPr>
          <w:rFonts w:hint="eastAsia"/>
        </w:rPr>
        <w:t xml:space="preserve"> </w:t>
      </w:r>
      <w:r>
        <w:rPr>
          <w:rFonts w:hint="eastAsia" w:ascii="宋体" w:hAnsi="宋体"/>
          <w:color w:val="000000"/>
          <w:sz w:val="24"/>
        </w:rPr>
        <w:t xml:space="preserve">未按照本合同约定向经办机构及时足额拨付大</w:t>
      </w:r>
      <w:r>
        <w:rPr>
          <w:rFonts w:hint="eastAsia" w:ascii="宋体" w:hAnsi="宋体"/>
          <w:color w:val="000000"/>
          <w:sz w:val="24"/>
        </w:rPr>
        <w:t xml:space="preserve">病保险理赔周转金的；向经办机构派驻的人员不符合合同约定的；因承办机构的派驻人员过错导致医保基金、大病保险资金损失的；违反保密义务的；有其他违反合同约定造成基金损失、损害参保人利益的行为。</w:t>
      </w:r>
      <w:r>
        <w:rPr>
          <w:rFonts w:ascii="宋体" w:hAnsi="宋体"/>
          <w:color w:val="000000"/>
          <w:sz w:val="24"/>
        </w:rPr>
      </w:r>
      <w:r/>
    </w:p>
    <w:p>
      <w:pPr>
        <w:pStyle w:val="982"/>
        <w:ind w:firstLine="482"/>
        <w:spacing w:line="360" w:lineRule="auto"/>
        <w:rPr>
          <w:rFonts w:ascii="宋体" w:hAnsi="宋体"/>
          <w:b/>
          <w:bCs/>
          <w:sz w:val="24"/>
        </w:rPr>
      </w:pPr>
      <w:r>
        <w:rPr>
          <w:rFonts w:hint="eastAsia" w:ascii="宋体" w:hAnsi="宋体"/>
          <w:b/>
          <w:bCs/>
          <w:sz w:val="24"/>
        </w:rPr>
        <w:t xml:space="preserve">（三）赔付管理</w:t>
      </w:r>
      <w:r>
        <w:rPr>
          <w:rFonts w:ascii="宋体" w:hAnsi="宋体"/>
          <w:b/>
          <w:bCs/>
          <w:sz w:val="24"/>
        </w:rPr>
      </w:r>
      <w:r/>
    </w:p>
    <w:p>
      <w:pPr>
        <w:pStyle w:val="982"/>
        <w:ind w:firstLine="480"/>
        <w:spacing w:line="360" w:lineRule="auto"/>
        <w:rPr>
          <w:rFonts w:ascii="宋体" w:hAnsi="宋体"/>
          <w:color w:val="000000"/>
          <w:sz w:val="24"/>
        </w:rPr>
      </w:pPr>
      <w:r>
        <w:rPr>
          <w:rFonts w:ascii="宋体" w:hAnsi="宋体"/>
          <w:color w:val="000000"/>
          <w:sz w:val="24"/>
        </w:rPr>
        <w:t xml:space="preserve">按本项目政策规定，提供“一站式”即时结算服务，确保参保人</w:t>
      </w:r>
      <w:r>
        <w:rPr>
          <w:rFonts w:hint="eastAsia" w:ascii="宋体" w:hAnsi="宋体"/>
          <w:color w:val="000000"/>
          <w:sz w:val="24"/>
        </w:rPr>
        <w:t xml:space="preserve">员</w:t>
      </w:r>
      <w:r>
        <w:rPr>
          <w:rFonts w:ascii="宋体" w:hAnsi="宋体"/>
          <w:color w:val="000000"/>
          <w:sz w:val="24"/>
        </w:rPr>
        <w:t xml:space="preserve">方便、及时享受大病保险待遇。</w:t>
      </w:r>
      <w:r/>
    </w:p>
    <w:p>
      <w:pPr>
        <w:pStyle w:val="982"/>
        <w:ind w:firstLine="480"/>
        <w:spacing w:line="360" w:lineRule="auto"/>
        <w:rPr>
          <w:rFonts w:ascii="宋体" w:hAnsi="宋体"/>
          <w:color w:val="000000"/>
          <w:sz w:val="24"/>
        </w:rPr>
      </w:pPr>
      <w:r>
        <w:rPr>
          <w:rFonts w:hint="eastAsia" w:ascii="宋体" w:hAnsi="宋体"/>
          <w:sz w:val="24"/>
        </w:rPr>
        <w:t xml:space="preserve">参保人员在定点单位发生的大病保险费用，由承办机构委托医保经办机构向定点单位支付，并生成大病保险费用月结算报表，报送承办机构。参保人员非即时结算零星报销基本医疗保险费用，其中涉及的大病保险费用，由承办机构委托医保经办机构在基本医疗保险零星报销时同步结算。</w:t>
      </w:r>
      <w:r>
        <w:rPr>
          <w:rFonts w:ascii="宋体" w:hAnsi="宋体"/>
          <w:color w:val="000000"/>
          <w:sz w:val="24"/>
        </w:rPr>
      </w:r>
      <w:r/>
    </w:p>
    <w:p>
      <w:pPr>
        <w:pStyle w:val="982"/>
        <w:ind w:firstLine="480"/>
        <w:spacing w:line="360" w:lineRule="auto"/>
        <w:rPr>
          <w:rFonts w:ascii="宋体" w:hAnsi="宋体"/>
          <w:sz w:val="24"/>
        </w:rPr>
      </w:pPr>
      <w:r>
        <w:rPr>
          <w:rFonts w:hint="eastAsia" w:ascii="宋体" w:hAnsi="宋体"/>
          <w:sz w:val="24"/>
        </w:rPr>
        <w:t xml:space="preserve">本项目建立大病保险周转金制度，大病保险周转金额度定为6000万元，用于支付大病保险理赔，医保经办机构不得将周转金挪作他用，周转金不计利息。如周转金不足支付当月大病保险理赔金额时，承办机构按实际发生金额及时追加资金，并将周转金规模始终保持在不低于6000万元直至项目清算结束。</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（四）清算管理</w:t>
      </w:r>
      <w:r>
        <w:rPr>
          <w:rFonts w:ascii="宋体" w:hAnsi="宋体"/>
          <w:b/>
          <w:bCs/>
          <w:sz w:val="24"/>
        </w:rPr>
      </w:r>
      <w:r/>
    </w:p>
    <w:p>
      <w:pPr>
        <w:pStyle w:val="982"/>
        <w:ind w:firstLine="482"/>
        <w:spacing w:line="360" w:lineRule="auto"/>
        <w:rPr>
          <w:rFonts w:ascii="宋体" w:hAnsi="宋体"/>
          <w:b/>
          <w:bCs/>
          <w:sz w:val="24"/>
        </w:rPr>
      </w:pPr>
      <w:r>
        <w:rPr>
          <w:rFonts w:hint="eastAsia" w:ascii="宋体" w:hAnsi="宋体"/>
          <w:b/>
          <w:bCs/>
          <w:sz w:val="24"/>
        </w:rPr>
        <w:t xml:space="preserve">1.保费清算</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全市统一保费清算，以当年度实际参保人数和筹资标准确定当年实际保费收入，并根据承办份额分配到各结算区，于每个保险年度结束后的次年第一季度开展。</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2.理赔清算</w:t>
      </w:r>
      <w:r>
        <w:rPr>
          <w:rFonts w:ascii="宋体" w:hAnsi="宋体"/>
          <w:b/>
          <w:bCs/>
          <w:sz w:val="24"/>
        </w:rPr>
      </w:r>
      <w:r/>
    </w:p>
    <w:p>
      <w:pPr>
        <w:pStyle w:val="982"/>
        <w:ind w:firstLine="480"/>
        <w:spacing w:line="360" w:lineRule="auto"/>
        <w:rPr>
          <w:rFonts w:ascii="宋体" w:hAnsi="宋体"/>
          <w:sz w:val="24"/>
          <w:highlight w:val="yellow"/>
        </w:rPr>
      </w:pPr>
      <w:r>
        <w:rPr>
          <w:rFonts w:hint="eastAsia" w:ascii="宋体" w:hAnsi="宋体"/>
          <w:sz w:val="24"/>
        </w:rPr>
        <w:t xml:space="preserve">大病保险理赔清算</w:t>
      </w:r>
      <w:r>
        <w:rPr>
          <w:rFonts w:hint="eastAsia" w:ascii="宋体" w:hAnsi="宋体"/>
          <w:sz w:val="24"/>
        </w:rPr>
        <w:t xml:space="preserve">范围以基本医保结算日期为准，凡在清算时点前已完成基本医保结算的案件均纳入当年清算范围，未结算案件则顺延至下一年度处理，不得以案件发生时间不在当年度为由拒赔，确保与基本医保结算有效衔接。</w:t>
      </w:r>
      <w:r>
        <w:rPr>
          <w:rFonts w:ascii="宋体" w:hAnsi="宋体"/>
          <w:sz w:val="24"/>
          <w:highlight w:val="yellow"/>
        </w:rPr>
      </w:r>
      <w:r/>
    </w:p>
    <w:p>
      <w:pPr>
        <w:pStyle w:val="982"/>
        <w:contextualSpacing/>
        <w:ind w:firstLine="480"/>
        <w:rPr>
          <w:rFonts w:ascii="宋体" w:hAnsi="宋体"/>
          <w:sz w:val="24"/>
          <w:highlight w:val="yellow"/>
        </w:rPr>
      </w:pPr>
      <w:r>
        <w:rPr>
          <w:rFonts w:hint="eastAsia" w:ascii="宋体" w:hAnsi="宋体" w:eastAsia="等线"/>
          <w:sz w:val="24"/>
          <w:szCs w:val="22"/>
        </w:rPr>
        <w:t xml:space="preserve">当年度大病保险理赔</w:t>
      </w:r>
      <w:r>
        <w:rPr>
          <w:rFonts w:hint="eastAsia" w:ascii="宋体" w:hAnsi="宋体"/>
          <w:sz w:val="24"/>
          <w:szCs w:val="22"/>
        </w:rPr>
        <w:t xml:space="preserve">总</w:t>
      </w:r>
      <w:r>
        <w:rPr>
          <w:rFonts w:hint="eastAsia" w:ascii="宋体" w:hAnsi="宋体" w:eastAsia="等线"/>
          <w:sz w:val="24"/>
          <w:szCs w:val="22"/>
        </w:rPr>
        <w:t xml:space="preserve">额是</w:t>
      </w:r>
      <w:r>
        <w:rPr>
          <w:rFonts w:hint="eastAsia" w:ascii="宋体" w:hAnsi="宋体"/>
          <w:sz w:val="24"/>
          <w:szCs w:val="22"/>
        </w:rPr>
        <w:t xml:space="preserve">指</w:t>
      </w:r>
      <w:r>
        <w:rPr>
          <w:rFonts w:hint="eastAsia" w:ascii="宋体" w:hAnsi="宋体" w:eastAsia="等线"/>
          <w:sz w:val="24"/>
          <w:szCs w:val="22"/>
        </w:rPr>
        <w:t xml:space="preserve">年度内</w:t>
      </w:r>
      <w:r>
        <w:rPr>
          <w:rFonts w:hint="eastAsia" w:ascii="宋体" w:hAnsi="宋体"/>
          <w:sz w:val="24"/>
          <w:szCs w:val="22"/>
        </w:rPr>
        <w:t xml:space="preserve">本地</w:t>
      </w:r>
      <w:r>
        <w:rPr>
          <w:rFonts w:hint="eastAsia" w:ascii="宋体" w:hAnsi="宋体" w:eastAsia="等线"/>
          <w:sz w:val="24"/>
          <w:szCs w:val="22"/>
        </w:rPr>
        <w:t xml:space="preserve">定点单位结算费用、零星报销费用和异地联网结算费用，即在</w:t>
      </w:r>
      <w:r>
        <w:rPr>
          <w:rFonts w:hint="eastAsia" w:ascii="宋体" w:hAnsi="宋体"/>
          <w:sz w:val="24"/>
          <w:szCs w:val="22"/>
        </w:rPr>
        <w:t xml:space="preserve">每个保险</w:t>
      </w:r>
      <w:r>
        <w:rPr>
          <w:rFonts w:hint="eastAsia" w:ascii="宋体" w:hAnsi="宋体" w:eastAsia="等线"/>
          <w:sz w:val="24"/>
          <w:szCs w:val="22"/>
        </w:rPr>
        <w:t xml:space="preserve">年度12月31日前定点单位上传结算</w:t>
      </w:r>
      <w:r>
        <w:rPr>
          <w:rFonts w:hint="eastAsia" w:ascii="宋体" w:hAnsi="宋体"/>
          <w:sz w:val="24"/>
          <w:szCs w:val="22"/>
        </w:rPr>
        <w:t xml:space="preserve">、</w:t>
      </w:r>
      <w:r>
        <w:rPr>
          <w:rFonts w:hint="eastAsia" w:ascii="宋体" w:hAnsi="宋体" w:eastAsia="等线"/>
          <w:sz w:val="24"/>
          <w:szCs w:val="22"/>
        </w:rPr>
        <w:t xml:space="preserve">参保人员零星报销的大病保险费用</w:t>
      </w:r>
      <w:r>
        <w:rPr>
          <w:rFonts w:hint="eastAsia" w:ascii="宋体" w:hAnsi="宋体"/>
          <w:sz w:val="24"/>
          <w:szCs w:val="22"/>
        </w:rPr>
        <w:t xml:space="preserve">和</w:t>
      </w:r>
      <w:r>
        <w:rPr>
          <w:rFonts w:hint="eastAsia" w:ascii="宋体" w:hAnsi="宋体" w:eastAsia="等线"/>
          <w:sz w:val="24"/>
          <w:szCs w:val="22"/>
        </w:rPr>
        <w:t xml:space="preserve">异地联网已清算费用。</w:t>
      </w:r>
      <w:r>
        <w:rPr>
          <w:rFonts w:ascii="宋体" w:hAnsi="宋体"/>
          <w:sz w:val="24"/>
          <w:highlight w:val="yellow"/>
        </w:rPr>
      </w:r>
      <w:r/>
    </w:p>
    <w:p>
      <w:pPr>
        <w:pStyle w:val="982"/>
        <w:numPr>
          <w:ilvl w:val="0"/>
          <w:numId w:val="7"/>
        </w:numPr>
        <w:ind w:firstLine="480"/>
        <w:spacing w:line="360" w:lineRule="auto"/>
        <w:tabs>
          <w:tab w:val="left" w:pos="312" w:leader="none"/>
        </w:tabs>
        <w:rPr>
          <w:rFonts w:ascii="宋体" w:hAnsi="宋体"/>
          <w:sz w:val="24"/>
        </w:rPr>
      </w:pPr>
      <w:r>
        <w:rPr>
          <w:rFonts w:hint="eastAsia" w:ascii="宋体" w:hAnsi="宋体"/>
          <w:sz w:val="24"/>
        </w:rPr>
        <w:t xml:space="preserve">★</w:t>
      </w:r>
      <w:r>
        <w:rPr>
          <w:rFonts w:hint="eastAsia" w:ascii="宋体" w:hAnsi="宋体"/>
          <w:b/>
          <w:bCs/>
          <w:sz w:val="24"/>
        </w:rPr>
        <w:t xml:space="preserve">运行成本（提供承诺函，不提供承诺函的作为无效标处理）</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项目运行成本控制在年度保费总额4.5%以内，并满足以下要求：</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（1）人力成本标准：平均人力成本不低于上年度常州市城镇私营单位就业人员年平均工资。</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（2）成本构成范围：包括人工成本、设备费用、车辆保障费用、审计成本、信息维护人员费用及宣传培训费用等。</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（3）清算要求：年度</w:t>
      </w:r>
      <w:r>
        <w:rPr>
          <w:rFonts w:hint="eastAsia" w:ascii="宋体" w:hAnsi="宋体"/>
          <w:sz w:val="24"/>
          <w:szCs w:val="24"/>
        </w:rPr>
        <w:t xml:space="preserve">清算时，医保经办机构先聘请</w:t>
      </w:r>
      <w:r>
        <w:rPr>
          <w:rFonts w:hint="eastAsia" w:ascii="宋体" w:hAnsi="宋体"/>
          <w:sz w:val="24"/>
        </w:rPr>
        <w:t xml:space="preserve">具备资质的审计机构对大病保险运营情况进行专项审计</w:t>
      </w:r>
      <w:r>
        <w:rPr>
          <w:rFonts w:hint="eastAsia" w:ascii="宋体" w:hAnsi="宋体"/>
          <w:sz w:val="24"/>
          <w:szCs w:val="24"/>
        </w:rPr>
        <w:t xml:space="preserve">（审计费用列入项目运行成本），并根据审计结果确定实际运行成本。</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4.</w:t>
      </w:r>
      <w:r>
        <w:rPr>
          <w:rFonts w:hint="eastAsia" w:ascii="宋体" w:hAnsi="宋体"/>
          <w:sz w:val="24"/>
        </w:rPr>
        <w:t xml:space="preserve">★</w:t>
      </w:r>
      <w:r>
        <w:rPr>
          <w:rFonts w:hint="eastAsia" w:ascii="宋体" w:hAnsi="宋体"/>
          <w:b/>
          <w:bCs/>
          <w:sz w:val="24"/>
        </w:rPr>
        <w:t xml:space="preserve">风险调节和盈余清算（提供承诺函，不提供承诺函的作为无效标处理）</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年度盈（亏）率=（年度大病保险保费实际总额-年度大病保险理赔总额-年度大病保险项目运行成本支出总额）</w:t>
      </w:r>
      <w:r>
        <w:rPr>
          <w:rFonts w:ascii="Arial" w:hAnsi="Arial" w:cs="Arial"/>
          <w:sz w:val="24"/>
        </w:rPr>
        <w:t xml:space="preserve">÷</w:t>
      </w:r>
      <w:r>
        <w:rPr>
          <w:rFonts w:hint="eastAsia" w:ascii="宋体" w:hAnsi="宋体"/>
          <w:sz w:val="24"/>
        </w:rPr>
        <w:t xml:space="preserve">年度大病保险保</w:t>
      </w:r>
      <w:r>
        <w:rPr>
          <w:rFonts w:hint="eastAsia" w:ascii="宋体" w:hAnsi="宋体"/>
          <w:sz w:val="24"/>
        </w:rPr>
        <w:t xml:space="preserve">费实际总额</w:t>
      </w:r>
      <w:r>
        <w:rPr>
          <w:rFonts w:ascii="Arial" w:hAnsi="Arial" w:cs="Arial"/>
          <w:sz w:val="24"/>
        </w:rPr>
        <w:t xml:space="preserve">×</w:t>
      </w:r>
      <w:r>
        <w:rPr>
          <w:rFonts w:hint="eastAsia" w:ascii="宋体" w:hAnsi="宋体"/>
          <w:sz w:val="24"/>
        </w:rPr>
        <w:t xml:space="preserve">100%</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当年大病保险基金支付给承办机构的保费收入扣除当年承办机构支付给参保人员的大病保险理赔金额和运行成本后，存在结余，承办机构可以获得盈利，年度盈利额按实际情况动态确定，但不得超过年度大病保险保费实际总额的0.1%。</w:t>
      </w:r>
      <w:r>
        <w:rPr>
          <w:rFonts w:ascii="宋体" w:hAnsi="宋体"/>
          <w:sz w:val="24"/>
        </w:rPr>
      </w:r>
      <w:r/>
    </w:p>
    <w:p>
      <w:pPr>
        <w:pStyle w:val="982"/>
        <w:ind w:firstLine="480"/>
        <w:spacing w:line="360" w:lineRule="auto"/>
        <w:rPr>
          <w:rFonts w:ascii="宋体" w:hAnsi="宋体"/>
          <w:b/>
          <w:bCs/>
          <w:sz w:val="24"/>
        </w:rPr>
      </w:pPr>
      <w:r>
        <w:rPr>
          <w:rFonts w:hint="eastAsia" w:ascii="宋体" w:hAnsi="宋体"/>
          <w:sz w:val="24"/>
        </w:rPr>
        <w:t xml:space="preserve">（1）分险种计算各险种大病保险基金，若职工基金和居民基金均未出现亏损，年度盈利率在0.1%以内的部分归承办机构所有；年度盈利率超过0.1%的部分全额退回大病保险基金专户。</w:t>
      </w:r>
      <w:r>
        <w:rPr>
          <w:rFonts w:ascii="宋体" w:hAnsi="宋体"/>
          <w:b/>
          <w:bCs/>
          <w:sz w:val="24"/>
        </w:rPr>
      </w:r>
      <w:r/>
    </w:p>
    <w:p>
      <w:pPr>
        <w:pStyle w:val="982"/>
        <w:ind w:firstLine="480"/>
        <w:spacing w:line="360" w:lineRule="auto"/>
        <w:rPr>
          <w:rFonts w:ascii="宋体" w:hAnsi="宋体"/>
          <w:b/>
          <w:bCs/>
          <w:sz w:val="24"/>
        </w:rPr>
      </w:pPr>
      <w:r>
        <w:rPr>
          <w:rFonts w:hint="eastAsia" w:ascii="宋体" w:hAnsi="宋体" w:eastAsia="等线"/>
          <w:b/>
          <w:bCs/>
          <w:sz w:val="24"/>
          <w:szCs w:val="22"/>
        </w:rPr>
        <w:t xml:space="preserve">年度盈利额=年度大病保险保费实际总额*年度盈利率</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（2）若职工基金或居民基金其中之一</w:t>
      </w:r>
      <w:r>
        <w:rPr>
          <w:rFonts w:hint="eastAsia" w:ascii="宋体" w:hAnsi="宋体" w:eastAsia="等线"/>
          <w:sz w:val="24"/>
          <w:szCs w:val="22"/>
        </w:rPr>
        <w:t xml:space="preserve">存在亏损，则</w:t>
      </w:r>
      <w:r>
        <w:rPr>
          <w:rFonts w:hint="eastAsia" w:ascii="宋体" w:hAnsi="宋体"/>
          <w:sz w:val="24"/>
          <w:szCs w:val="22"/>
        </w:rPr>
        <w:t xml:space="preserve">亏损</w:t>
      </w:r>
      <w:r>
        <w:rPr>
          <w:rFonts w:hint="eastAsia" w:ascii="宋体" w:hAnsi="宋体" w:eastAsia="等线"/>
          <w:sz w:val="24"/>
          <w:szCs w:val="22"/>
        </w:rPr>
        <w:t xml:space="preserve">险种保费不计入年度盈利额计算过程。</w:t>
      </w:r>
      <w:r>
        <w:rPr>
          <w:rFonts w:hint="eastAsia" w:ascii="宋体" w:hAnsi="宋体"/>
          <w:sz w:val="24"/>
        </w:rPr>
        <w:t xml:space="preserve">年度盈利率在0.1%以内的部分归承办机构所有；年度盈利率超过0.1%的部分全额退回大病保险基金专户。</w:t>
      </w:r>
      <w:r>
        <w:rPr>
          <w:rFonts w:ascii="宋体" w:hAnsi="宋体"/>
          <w:sz w:val="24"/>
        </w:rPr>
      </w:r>
      <w:r/>
    </w:p>
    <w:p>
      <w:pPr>
        <w:pStyle w:val="982"/>
        <w:ind w:firstLine="480"/>
        <w:spacing w:line="360" w:lineRule="auto"/>
        <w:rPr>
          <w:rFonts w:ascii="宋体" w:hAnsi="宋体"/>
          <w:b/>
          <w:bCs/>
          <w:sz w:val="24"/>
        </w:rPr>
      </w:pPr>
      <w:r>
        <w:rPr>
          <w:rFonts w:hint="eastAsia" w:ascii="宋体" w:hAnsi="宋体" w:eastAsia="等线"/>
          <w:sz w:val="24"/>
          <w:szCs w:val="22"/>
        </w:rPr>
        <w:t xml:space="preserve">年度盈利额=（年度大病保险保费实际总额-年度亏损险种保费总额）*年度盈利率</w:t>
      </w:r>
      <w:r>
        <w:rPr>
          <w:rFonts w:ascii="宋体" w:hAnsi="宋体"/>
          <w:b/>
          <w:bCs/>
          <w:sz w:val="24"/>
        </w:rPr>
      </w:r>
      <w:r/>
    </w:p>
    <w:p>
      <w:pPr>
        <w:pStyle w:val="982"/>
        <w:ind w:firstLine="480"/>
        <w:spacing w:line="360" w:lineRule="auto"/>
        <w:rPr>
          <w:rFonts w:ascii="宋体" w:hAnsi="宋体"/>
          <w:b/>
          <w:bCs/>
          <w:sz w:val="24"/>
        </w:rPr>
      </w:pPr>
      <w:r>
        <w:rPr>
          <w:rFonts w:hint="eastAsia" w:ascii="宋体" w:hAnsi="宋体"/>
          <w:sz w:val="24"/>
        </w:rPr>
        <w:t xml:space="preserve">当年大病保险基金支付给承办机构的保费收入扣除当年承办机构支付给参保人员的大病保险理赔金额和运行成本后，存在亏损，亏损金额分段计算，年度亏损率在1.0%（含1.0%）以内的部分，承办机构全额承担亏损金额；年度亏损率在1.0%-3.0%的部分（不含1.0%，含3.0%），承办机构承担亏损金额的50%；年度亏损</w:t>
      </w:r>
      <w:r>
        <w:rPr>
          <w:rFonts w:hint="eastAsia" w:ascii="宋体" w:hAnsi="宋体"/>
          <w:sz w:val="24"/>
        </w:rPr>
        <w:t xml:space="preserve">率超过3.0%的部分，承办机构承担亏损金额的15%。</w:t>
      </w:r>
      <w:r>
        <w:rPr>
          <w:rFonts w:ascii="宋体" w:hAnsi="宋体"/>
          <w:b/>
          <w:bCs/>
          <w:sz w:val="24"/>
        </w:rPr>
      </w:r>
      <w:r/>
    </w:p>
    <w:p>
      <w:pPr>
        <w:pStyle w:val="982"/>
        <w:ind w:firstLine="482"/>
        <w:spacing w:line="360" w:lineRule="auto"/>
        <w:rPr>
          <w:rFonts w:ascii="宋体" w:hAnsi="宋体"/>
          <w:sz w:val="24"/>
        </w:rPr>
      </w:pPr>
      <w:r>
        <w:rPr>
          <w:rFonts w:hint="eastAsia" w:ascii="宋体" w:hAnsi="宋体"/>
          <w:b/>
          <w:bCs/>
          <w:sz w:val="24"/>
        </w:rPr>
        <w:t xml:space="preserve">（五）</w:t>
      </w:r>
      <w:r>
        <w:rPr>
          <w:rFonts w:hint="eastAsia" w:ascii="宋体" w:hAnsi="宋体"/>
          <w:sz w:val="24"/>
        </w:rPr>
        <w:t xml:space="preserve">★</w:t>
      </w:r>
      <w:r>
        <w:rPr>
          <w:rFonts w:hint="eastAsia" w:ascii="宋体" w:hAnsi="宋体"/>
          <w:b/>
          <w:bCs/>
          <w:sz w:val="24"/>
        </w:rPr>
        <w:t xml:space="preserve">承办机构衔接管理（提供承诺函，不提供承诺函的作为无效标处理）</w:t>
      </w:r>
      <w:r>
        <w:rPr>
          <w:rFonts w:ascii="宋体" w:hAnsi="宋体"/>
          <w:sz w:val="24"/>
        </w:rPr>
      </w:r>
      <w:r/>
    </w:p>
    <w:p>
      <w:pPr>
        <w:pStyle w:val="982"/>
        <w:ind w:firstLine="480"/>
        <w:spacing w:line="360" w:lineRule="auto"/>
        <w:rPr>
          <w:rFonts w:ascii="宋体" w:hAnsi="宋体"/>
          <w:b/>
          <w:bCs/>
          <w:sz w:val="24"/>
        </w:rPr>
      </w:pPr>
      <w:r>
        <w:rPr>
          <w:rFonts w:hint="eastAsia" w:ascii="宋体" w:hAnsi="宋体"/>
          <w:sz w:val="24"/>
        </w:rPr>
        <w:t xml:space="preserve">本次大病保险招标如承办机构发生变化的，原承办机构和现承办机构应做好大病保险工作的交接，确保大病保险工作无缝衔接、有序运行。</w:t>
      </w:r>
      <w:r>
        <w:rPr>
          <w:rFonts w:ascii="宋体" w:hAnsi="宋体"/>
          <w:b/>
          <w:bCs/>
          <w:sz w:val="24"/>
        </w:rPr>
      </w:r>
      <w:r/>
    </w:p>
    <w:p>
      <w:pPr>
        <w:pStyle w:val="982"/>
        <w:ind w:firstLine="480"/>
        <w:spacing w:line="360" w:lineRule="auto"/>
        <w:rPr>
          <w:rFonts w:ascii="宋体" w:hAnsi="宋体"/>
          <w:sz w:val="24"/>
        </w:rPr>
      </w:pPr>
      <w:r>
        <w:rPr>
          <w:rFonts w:hint="eastAsia" w:ascii="等线" w:hAnsi="等线" w:eastAsia="等线" w:cs="等线"/>
          <w:sz w:val="24"/>
          <w:szCs w:val="24"/>
          <w:shd w:val="clear" w:color="auto" w:fill="ffffff"/>
        </w:rPr>
        <w:t xml:space="preserve">如本轮服务期限届满后未完成新一轮采购或未确定新的</w:t>
      </w:r>
      <w:r>
        <w:rPr>
          <w:rFonts w:hint="eastAsia" w:cs="等线"/>
          <w:sz w:val="24"/>
          <w:szCs w:val="24"/>
          <w:shd w:val="clear" w:color="auto" w:fill="ffffff"/>
        </w:rPr>
        <w:t xml:space="preserve">承办</w:t>
      </w:r>
      <w:r>
        <w:rPr>
          <w:rFonts w:hint="eastAsia" w:ascii="等线" w:hAnsi="等线" w:eastAsia="等线" w:cs="等线"/>
          <w:sz w:val="24"/>
          <w:szCs w:val="24"/>
          <w:shd w:val="clear" w:color="auto" w:fill="ffffff"/>
        </w:rPr>
        <w:t xml:space="preserve">机构，原</w:t>
      </w:r>
      <w:r>
        <w:rPr>
          <w:rFonts w:hint="eastAsia" w:cs="等线"/>
          <w:sz w:val="24"/>
          <w:szCs w:val="24"/>
          <w:shd w:val="clear" w:color="auto" w:fill="ffffff"/>
        </w:rPr>
        <w:t xml:space="preserve">承办</w:t>
      </w:r>
      <w:r>
        <w:rPr>
          <w:rFonts w:hint="eastAsia" w:ascii="等线" w:hAnsi="等线" w:eastAsia="等线" w:cs="等线"/>
          <w:sz w:val="24"/>
          <w:szCs w:val="24"/>
          <w:shd w:val="clear" w:color="auto" w:fill="ffffff"/>
        </w:rPr>
        <w:t xml:space="preserve">机构应继续按原合同条款履行服务义务，直至新</w:t>
      </w:r>
      <w:r>
        <w:rPr>
          <w:rFonts w:hint="eastAsia" w:cs="等线"/>
          <w:sz w:val="24"/>
          <w:szCs w:val="24"/>
          <w:shd w:val="clear" w:color="auto" w:fill="ffffff"/>
        </w:rPr>
        <w:t xml:space="preserve">承办</w:t>
      </w:r>
      <w:r>
        <w:rPr>
          <w:rFonts w:hint="eastAsia" w:ascii="等线" w:hAnsi="等线" w:eastAsia="等线" w:cs="等线"/>
          <w:sz w:val="24"/>
          <w:szCs w:val="24"/>
          <w:shd w:val="clear" w:color="auto" w:fill="ffffff"/>
        </w:rPr>
        <w:t xml:space="preserve">机构确定并完成服务交接为止。</w:t>
      </w:r>
      <w:r>
        <w:rPr>
          <w:rFonts w:ascii="宋体" w:hAnsi="宋体"/>
          <w:sz w:val="24"/>
        </w:rPr>
      </w:r>
      <w:r/>
    </w:p>
    <w:p>
      <w:pPr>
        <w:pStyle w:val="982"/>
        <w:rPr>
          <w:b/>
          <w:i/>
          <w:sz w:val="24"/>
        </w:rPr>
      </w:pPr>
      <w:r>
        <w:rPr>
          <w:b/>
          <w:i/>
          <w:sz w:val="24"/>
        </w:rPr>
      </w:r>
      <w:r/>
    </w:p>
    <w:p>
      <w:pPr>
        <w:pStyle w:val="1076"/>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76"/>
        <w:rPr>
          <w:rFonts w:ascii="Times New Roman" w:hAnsi="Times New Roman"/>
          <w:b/>
          <w:highlight w:val="yellow"/>
          <w:lang w:eastAsia="zh-CN"/>
        </w:rPr>
      </w:pPr>
      <w:r>
        <w:rPr>
          <w:rFonts w:ascii="Times New Roman" w:hAnsi="Times New Roman"/>
          <w:b/>
          <w:highlight w:val="yellow"/>
          <w:lang w:eastAsia="zh-CN"/>
        </w:rPr>
      </w:r>
      <w:r/>
    </w:p>
    <w:p>
      <w:pPr>
        <w:pStyle w:val="982"/>
        <w:ind w:firstLine="482"/>
        <w:spacing w:line="360" w:lineRule="auto"/>
        <w:rPr>
          <w:rFonts w:ascii="宋体" w:hAnsi="宋体"/>
          <w:b/>
          <w:bCs/>
          <w:sz w:val="24"/>
          <w:highlight w:val="yellow"/>
        </w:rPr>
      </w:pPr>
      <w:r>
        <w:rPr>
          <w:rFonts w:hint="eastAsia" w:ascii="宋体" w:hAnsi="宋体"/>
          <w:b/>
          <w:bCs/>
          <w:sz w:val="24"/>
        </w:rPr>
        <w:t xml:space="preserve">（一）承办模式</w:t>
      </w:r>
      <w:r>
        <w:rPr>
          <w:rFonts w:ascii="宋体" w:hAnsi="宋体"/>
          <w:b/>
          <w:bCs/>
          <w:sz w:val="24"/>
          <w:highlight w:val="yellow"/>
        </w:rPr>
      </w:r>
      <w:r/>
    </w:p>
    <w:p>
      <w:pPr>
        <w:pStyle w:val="982"/>
        <w:ind w:firstLine="480"/>
        <w:spacing w:line="360" w:lineRule="auto"/>
        <w:rPr>
          <w:rFonts w:ascii="宋体" w:hAnsi="宋体"/>
          <w:sz w:val="24"/>
        </w:rPr>
      </w:pPr>
      <w:r>
        <w:rPr>
          <w:rFonts w:hint="eastAsia" w:ascii="宋体" w:hAnsi="宋体"/>
          <w:sz w:val="24"/>
        </w:rPr>
        <w:t xml:space="preserve">本次大病保险项目通过公开招标方式确定承办机构，采用"主承机构+次承机构"的共保体模式运作。共设八个分包，招标确定8家承办机构，4家主承机构分别负责市本级、武进区、溧阳市、金坛区经办服务，4家次承机构配合主承机构开展工作。各服务区域内的主承机构和次承机构组成共保体，由市本级主承机构负责统筹协调，确保大病保险经办服务规范有序开展。</w:t>
      </w:r>
      <w:r>
        <w:rPr>
          <w:rFonts w:ascii="宋体" w:hAnsi="宋体"/>
          <w:sz w:val="24"/>
        </w:rPr>
      </w:r>
      <w:r/>
    </w:p>
    <w:tbl>
      <w:tblPr>
        <w:tblpPr w:horzAnchor="page" w:tblpX="1895" w:vertAnchor="text" w:tblpY="301" w:leftFromText="180" w:topFromText="0" w:rightFromText="180" w:bottomFromText="0"/>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2464"/>
        <w:gridCol w:w="3122"/>
        <w:gridCol w:w="3656"/>
      </w:tblGrid>
      <w:tr>
        <w:trPr>
          <w:trHeight w:val="315"/>
        </w:trPr>
        <w:tc>
          <w:tcPr>
            <w:tcW w:w="1333" w:type="pct"/>
            <w:vAlign w:val="center"/>
            <w:textDirection w:val="lrTb"/>
            <w:noWrap w:val="false"/>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b/>
                <w:bCs/>
                <w:color w:val="000000"/>
                <w:sz w:val="24"/>
              </w:rPr>
              <w:t xml:space="preserve">分包号</w:t>
            </w:r>
            <w:r>
              <w:rPr>
                <w:rFonts w:ascii="仿宋" w:hAnsi="仿宋" w:eastAsia="仿宋" w:cs="仿宋"/>
                <w:b/>
                <w:bCs/>
                <w:color w:val="000000"/>
                <w:sz w:val="24"/>
              </w:rPr>
            </w:r>
            <w:r/>
          </w:p>
        </w:tc>
        <w:tc>
          <w:tcPr>
            <w:tcW w:w="1689" w:type="pct"/>
            <w:vAlign w:val="center"/>
            <w:textDirection w:val="lrTb"/>
            <w:noWrap w:val="false"/>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b/>
                <w:bCs/>
                <w:color w:val="000000"/>
                <w:sz w:val="24"/>
              </w:rPr>
              <w:t xml:space="preserve">承办内容</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b/>
                <w:bCs/>
                <w:color w:val="000000"/>
                <w:sz w:val="24"/>
              </w:rPr>
              <w:t xml:space="preserve">承办份额</w:t>
            </w:r>
            <w:r>
              <w:rPr>
                <w:rFonts w:ascii="仿宋" w:hAnsi="仿宋" w:eastAsia="仿宋" w:cs="仿宋"/>
                <w:b/>
                <w:bCs/>
                <w:color w:val="000000"/>
                <w:sz w:val="24"/>
              </w:rPr>
            </w:r>
            <w:r/>
          </w:p>
        </w:tc>
      </w:tr>
      <w:tr>
        <w:trPr>
          <w:trHeight w:val="315"/>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第一分包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市本级主承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41%</w:t>
            </w:r>
            <w:r>
              <w:rPr>
                <w:rFonts w:ascii="仿宋" w:hAnsi="仿宋" w:eastAsia="仿宋" w:cs="仿宋"/>
                <w:color w:val="000000"/>
                <w:sz w:val="24"/>
              </w:rPr>
            </w:r>
            <w:r/>
          </w:p>
        </w:tc>
      </w:tr>
      <w:tr>
        <w:trPr>
          <w:trHeight w:val="90"/>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第二分包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武进区主承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19.43%</w:t>
            </w:r>
            <w:r>
              <w:rPr>
                <w:rFonts w:ascii="仿宋" w:hAnsi="仿宋" w:eastAsia="仿宋" w:cs="仿宋"/>
                <w:color w:val="000000"/>
                <w:sz w:val="24"/>
              </w:rPr>
            </w:r>
            <w:r/>
          </w:p>
        </w:tc>
      </w:tr>
      <w:tr>
        <w:trPr>
          <w:trHeight w:val="335"/>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第三分包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溧阳市主承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14.58%</w:t>
            </w:r>
            <w:r>
              <w:rPr>
                <w:rFonts w:ascii="仿宋" w:hAnsi="仿宋" w:eastAsia="仿宋" w:cs="仿宋"/>
                <w:color w:val="000000"/>
                <w:sz w:val="24"/>
              </w:rPr>
            </w:r>
            <w:r/>
          </w:p>
        </w:tc>
      </w:tr>
      <w:tr>
        <w:trPr>
          <w:trHeight w:val="379"/>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第四分包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金坛区主承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10.49%</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第五分包</w:t>
            </w:r>
            <w:r>
              <w:rPr>
                <w:rFonts w:ascii="仿宋" w:hAnsi="仿宋" w:eastAsia="仿宋" w:cs="仿宋"/>
                <w:color w:val="000000"/>
                <w:sz w:val="24"/>
              </w:rPr>
            </w:r>
            <w:r/>
          </w:p>
        </w:tc>
        <w:tc>
          <w:tcPr>
            <w:tcW w:w="1689"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市本级次承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7%</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第六分包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武进区次承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3.5%</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第七分包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溧阳市次承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2%</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第八分</w:t>
            </w:r>
            <w:r>
              <w:rPr>
                <w:rFonts w:hint="eastAsia" w:ascii="仿宋" w:hAnsi="仿宋" w:eastAsia="仿宋" w:cs="仿宋"/>
                <w:color w:val="000000"/>
                <w:sz w:val="24"/>
              </w:rPr>
              <w:t xml:space="preserve">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color w:val="000000"/>
                <w:sz w:val="24"/>
              </w:rPr>
              <w:t xml:space="preserve">金坛区次承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2%</w:t>
            </w:r>
            <w:r>
              <w:rPr>
                <w:rFonts w:ascii="仿宋" w:hAnsi="仿宋" w:eastAsia="仿宋" w:cs="仿宋"/>
                <w:color w:val="000000"/>
                <w:sz w:val="24"/>
              </w:rPr>
            </w:r>
            <w:r/>
          </w:p>
        </w:tc>
      </w:tr>
      <w:tr>
        <w:trPr>
          <w:trHeight w:val="315"/>
        </w:trPr>
        <w:tc>
          <w:tcPr>
            <w:gridSpan w:val="2"/>
            <w:tcW w:w="3022"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1895" w:y="301"/>
            </w:pPr>
            <w:r>
              <w:rPr>
                <w:rFonts w:hint="eastAsia" w:ascii="仿宋" w:hAnsi="仿宋" w:eastAsia="仿宋" w:cs="仿宋"/>
                <w:b/>
                <w:bCs/>
                <w:color w:val="000000"/>
                <w:sz w:val="24"/>
              </w:rPr>
              <w:t xml:space="preserve">合计：</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1895" w:y="301"/>
            </w:pPr>
            <w:r>
              <w:rPr>
                <w:rFonts w:hint="eastAsia" w:ascii="仿宋" w:hAnsi="仿宋" w:eastAsia="仿宋" w:cs="仿宋"/>
                <w:color w:val="000000"/>
                <w:sz w:val="24"/>
              </w:rPr>
              <w:t xml:space="preserve">100%</w:t>
            </w:r>
            <w:r>
              <w:rPr>
                <w:rFonts w:ascii="仿宋" w:hAnsi="仿宋" w:eastAsia="仿宋" w:cs="仿宋"/>
                <w:color w:val="000000"/>
                <w:sz w:val="24"/>
              </w:rPr>
            </w:r>
            <w:r/>
          </w:p>
        </w:tc>
      </w:tr>
    </w:tbl>
    <w:p>
      <w:pPr>
        <w:pStyle w:val="982"/>
        <w:ind w:firstLine="482"/>
        <w:spacing w:line="360" w:lineRule="auto"/>
        <w:rPr>
          <w:rFonts w:ascii="宋体" w:hAnsi="宋体"/>
          <w:b/>
          <w:bCs/>
          <w:sz w:val="24"/>
        </w:rPr>
      </w:pPr>
      <w:r>
        <w:rPr>
          <w:rFonts w:hint="eastAsia" w:ascii="宋体" w:hAnsi="宋体"/>
          <w:b/>
          <w:bCs/>
          <w:sz w:val="24"/>
        </w:rPr>
        <w:t xml:space="preserve">（二）合同期限</w:t>
      </w:r>
      <w:r>
        <w:rPr>
          <w:rFonts w:ascii="宋体" w:hAnsi="宋体"/>
          <w:b/>
          <w:bCs/>
          <w:sz w:val="24"/>
        </w:rPr>
      </w:r>
      <w:r/>
    </w:p>
    <w:p>
      <w:pPr>
        <w:pStyle w:val="982"/>
        <w:ind w:firstLine="480"/>
        <w:spacing w:line="360" w:lineRule="auto"/>
        <w:rPr>
          <w:rFonts w:ascii="宋体" w:hAnsi="宋体"/>
          <w:b/>
          <w:bCs/>
          <w:sz w:val="24"/>
          <w:highlight w:val="yellow"/>
        </w:rPr>
      </w:pPr>
      <w:r>
        <w:rPr>
          <w:rFonts w:hint="eastAsia" w:ascii="宋体" w:hAnsi="宋体"/>
          <w:sz w:val="24"/>
        </w:rPr>
        <w:t xml:space="preserve">项目服务周期为20</w:t>
      </w:r>
      <w:r>
        <w:rPr>
          <w:rFonts w:ascii="宋体" w:hAnsi="宋体"/>
          <w:sz w:val="24"/>
        </w:rPr>
        <w:t xml:space="preserve">2</w:t>
      </w:r>
      <w:r>
        <w:rPr>
          <w:rFonts w:hint="eastAsia" w:ascii="宋体" w:hAnsi="宋体"/>
          <w:sz w:val="24"/>
        </w:rPr>
        <w:t xml:space="preserve">6年1月1日至2028年12月31日，实行年度合同制管理。医保经办机构将依据制定的考核办法对承办机构进行年度履约考核，考核合格方可续签下一年度合同；考核不合格的，医保经办机构有权终止续约，并由承办机构按合同约定承担违约责任。具体考核办法由医保经办机构另行制定。承办机构因考核不合格、宣告破产、解散等原因退出本项目的，由市医保部门、财政部门、政府采购部门等按规定会商确定。</w:t>
      </w:r>
      <w:r>
        <w:rPr>
          <w:rFonts w:ascii="宋体" w:hAnsi="宋体"/>
          <w:b/>
          <w:bCs/>
          <w:sz w:val="24"/>
          <w:highlight w:val="yellow"/>
        </w:rPr>
      </w:r>
      <w:r/>
    </w:p>
    <w:p>
      <w:pPr>
        <w:pStyle w:val="982"/>
        <w:ind w:firstLine="482"/>
        <w:spacing w:line="360" w:lineRule="auto"/>
        <w:rPr>
          <w:rFonts w:ascii="宋体" w:hAnsi="宋体"/>
          <w:b/>
          <w:bCs/>
          <w:sz w:val="24"/>
        </w:rPr>
      </w:pPr>
      <w:r>
        <w:rPr>
          <w:rFonts w:hint="eastAsia" w:ascii="宋体" w:hAnsi="宋体"/>
          <w:b/>
          <w:bCs/>
          <w:sz w:val="24"/>
        </w:rPr>
        <w:t xml:space="preserve">（三）项目主要服务内容</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本项目要求承办机构构建涵盖方案设计、团队管理、技术支持等全方位的服务体系，确保大病保险项目规范高效运行和参保人待遇有效落实：</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1.方案设计与实施：承办机构应符合大病保险项目要求，制定完善合理可行的项目实施方案，确保参保人员待遇及时享受；</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2.专业团队配置：承办机构派驻的大病保险业务经办人员同步接受医保经办机构管理，经办人员数量、结构根据工作需要进行动态调整；</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3.信息技术支持：承办机构利用自身信息网络平台优势为大病保险相关医疗费用监管、保险精算、风险管理以及核保核赔等提供技术支持；</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4.医疗服务保障：承办机构利用自身医疗卫生专家资源，提供医疗</w:t>
      </w:r>
      <w:r>
        <w:rPr>
          <w:rFonts w:hint="eastAsia" w:ascii="宋体" w:hAnsi="宋体"/>
          <w:sz w:val="24"/>
        </w:rPr>
        <w:t xml:space="preserve">卫生专家咨询、医疗服务合规性核查等服务；</w:t>
      </w:r>
      <w:r>
        <w:rPr>
          <w:rFonts w:ascii="宋体" w:hAnsi="宋体"/>
          <w:sz w:val="24"/>
        </w:rPr>
      </w:r>
      <w:r/>
    </w:p>
    <w:p>
      <w:pPr>
        <w:pStyle w:val="982"/>
        <w:ind w:firstLine="480"/>
        <w:spacing w:line="360" w:lineRule="auto"/>
        <w:rPr>
          <w:rFonts w:ascii="宋体" w:hAnsi="宋体"/>
          <w:sz w:val="24"/>
          <w:highlight w:val="yellow"/>
        </w:rPr>
      </w:pPr>
      <w:r>
        <w:rPr>
          <w:rFonts w:hint="eastAsia" w:ascii="宋体" w:hAnsi="宋体"/>
          <w:sz w:val="24"/>
        </w:rPr>
        <w:t xml:space="preserve">5.稽核协查服务:承办机构利用自身服务平台，开展大病保险费用专项稽核，加强异地就医调查、先行支付及外伤调查追偿等相关工作。</w:t>
      </w:r>
      <w:r>
        <w:rPr>
          <w:rFonts w:ascii="宋体" w:hAnsi="宋体"/>
          <w:sz w:val="24"/>
          <w:highlight w:val="yellow"/>
        </w:rPr>
      </w:r>
      <w:r/>
    </w:p>
    <w:p>
      <w:pPr>
        <w:pStyle w:val="982"/>
        <w:ind w:firstLine="482"/>
        <w:spacing w:line="360" w:lineRule="auto"/>
        <w:rPr>
          <w:rFonts w:ascii="宋体" w:hAnsi="宋体"/>
          <w:b/>
          <w:bCs/>
          <w:sz w:val="24"/>
        </w:rPr>
      </w:pPr>
      <w:r>
        <w:rPr>
          <w:rFonts w:hint="eastAsia" w:ascii="宋体" w:hAnsi="宋体"/>
          <w:b/>
          <w:bCs/>
          <w:sz w:val="24"/>
        </w:rPr>
        <w:t xml:space="preserve">（四）项目具体服务要求</w:t>
      </w:r>
      <w:r>
        <w:rPr>
          <w:rFonts w:ascii="宋体" w:hAnsi="宋体"/>
          <w:b/>
          <w:bCs/>
          <w:sz w:val="24"/>
        </w:rPr>
      </w:r>
      <w:r/>
    </w:p>
    <w:p>
      <w:pPr>
        <w:pStyle w:val="982"/>
        <w:ind w:firstLine="482"/>
        <w:spacing w:line="360" w:lineRule="auto"/>
        <w:rPr>
          <w:rFonts w:ascii="宋体" w:hAnsi="宋体"/>
          <w:b/>
          <w:bCs/>
          <w:sz w:val="24"/>
        </w:rPr>
      </w:pPr>
      <w:r>
        <w:rPr>
          <w:rFonts w:hint="eastAsia" w:ascii="宋体" w:hAnsi="宋体"/>
          <w:b/>
          <w:bCs/>
          <w:sz w:val="24"/>
        </w:rPr>
        <w:t xml:space="preserve">1.人员配备与管理要求</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主承机构须建立专业化的服务团队，确保大病保险项目规范运行。在合同签订后1个月内，第一分包须配备不少于4名专职管理人员，其他分包不少于2名，其中包括1名项目负责人。项目负责人需具备五年以上保险从业经验，负责项目统筹管理、基金与资源调配、团队管理等工作，市本级主承机构项目负责人还需承担全市统筹协调职责。所有专职管理人员须为承办机构正式员工，重点对接经办机构社商合作大病保险项目管理工作。</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主承机构原则上按不低于参保人数1:3万的比例组建派驻经办服务团队，并根据实际服务需求动态调整人员（优先聘用原承办机构派驻的工作人员，未经医保经办机构同意，不得擅自更换）。派驻人员应以本科及以上学历为主，专科学历人员须为医药相关专业且不超过团队总人数的20%，具有医药专业背景人员不少于30%，专职财务人员不少于1人（须为会计类专业，有相关会计工作经验可适当放宽专业要求为财经类专业）；专职信息维护人员不少于1人（人员须符合医</w:t>
      </w:r>
      <w:r>
        <w:rPr>
          <w:rFonts w:hint="eastAsia" w:ascii="宋体" w:hAnsi="宋体"/>
          <w:sz w:val="24"/>
        </w:rPr>
        <w:t xml:space="preserve">保经办机构要求）。</w:t>
      </w:r>
      <w:r>
        <w:rPr>
          <w:rFonts w:ascii="宋体" w:hAnsi="宋体"/>
          <w:sz w:val="24"/>
        </w:rPr>
      </w:r>
      <w:r/>
    </w:p>
    <w:p>
      <w:pPr>
        <w:pStyle w:val="982"/>
        <w:ind w:firstLine="480"/>
        <w:spacing w:line="360" w:lineRule="auto"/>
        <w:rPr>
          <w:rFonts w:ascii="宋体" w:hAnsi="宋体"/>
          <w:sz w:val="24"/>
        </w:rPr>
      </w:pPr>
      <w:r>
        <w:rPr>
          <w:rFonts w:hint="eastAsia" w:ascii="宋体" w:hAnsi="宋体"/>
          <w:sz w:val="24"/>
          <w:szCs w:val="22"/>
        </w:rPr>
        <w:t xml:space="preserve">次承机</w:t>
      </w:r>
      <w:r>
        <w:rPr>
          <w:rFonts w:hint="eastAsia" w:ascii="宋体" w:hAnsi="宋体"/>
          <w:sz w:val="24"/>
        </w:rPr>
        <w:t xml:space="preserve">构</w:t>
      </w:r>
      <w:r>
        <w:rPr>
          <w:rFonts w:hint="eastAsia" w:ascii="宋体" w:hAnsi="宋体"/>
          <w:sz w:val="24"/>
          <w:szCs w:val="22"/>
        </w:rPr>
        <w:t xml:space="preserve">须明确1名项目负责人，安排专人负责</w:t>
      </w:r>
      <w:r>
        <w:rPr>
          <w:rFonts w:hint="eastAsia" w:ascii="宋体" w:hAnsi="宋体"/>
          <w:sz w:val="24"/>
        </w:rPr>
        <w:t xml:space="preserve">对接经办机构社商合作大病保险项目管理工作，利用自身平台优势，主动配合经办机构和主承机构加强大病保险费用审核监管，积极为大病保险稽核协查、保险精算、风险管理等提供技术、人员支持。</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所有工作人员须接受</w:t>
      </w:r>
      <w:r>
        <w:rPr>
          <w:rFonts w:hint="eastAsia" w:ascii="宋体" w:hAnsi="宋体"/>
          <w:sz w:val="24"/>
          <w:szCs w:val="24"/>
        </w:rPr>
        <w:t xml:space="preserve">医保经办机构和承办机构的双重管理，服从驻点所在部门的工作安排，工作人员未经医保经办机构同意，不得擅自更换；工作人员应严格遵守医保经办机构规章制度，保守业务机密，妥善保管工作文件和物品。严禁私自收受馈赠或贿赂，不得利用职务之便谋取私利。工作人员应恪守职业操守，维护医保经办机构声誉，高效完成各项工作任务</w:t>
      </w:r>
      <w:r>
        <w:rPr>
          <w:rFonts w:hint="eastAsia" w:ascii="宋体" w:hAnsi="宋体"/>
          <w:sz w:val="24"/>
        </w:rPr>
        <w:t xml:space="preserve">。</w:t>
      </w:r>
      <w:r>
        <w:rPr>
          <w:rFonts w:ascii="宋体" w:hAnsi="宋体"/>
          <w:sz w:val="24"/>
        </w:rPr>
      </w:r>
      <w:r/>
    </w:p>
    <w:p>
      <w:pPr>
        <w:pStyle w:val="982"/>
        <w:ind w:firstLine="482"/>
        <w:spacing w:line="360" w:lineRule="auto"/>
        <w:rPr>
          <w:rFonts w:ascii="宋体" w:hAnsi="宋体"/>
          <w:sz w:val="24"/>
        </w:rPr>
      </w:pPr>
      <w:r>
        <w:rPr>
          <w:rFonts w:hint="eastAsia" w:ascii="宋体" w:hAnsi="宋体"/>
          <w:b/>
          <w:bCs/>
          <w:sz w:val="24"/>
        </w:rPr>
        <w:t xml:space="preserve">2.理赔服务要求</w:t>
      </w:r>
      <w:r>
        <w:rPr>
          <w:rFonts w:hint="eastAsia" w:ascii="宋体" w:hAnsi="宋体"/>
          <w:sz w:val="24"/>
        </w:rPr>
        <w:t xml:space="preserve"> </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（1）承办机构应设立专人专窗负责受理大病保险理赔业务，实行一站式服务，确保理赔、财务、信息技术等环节的高效畅通； </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（2）承办机构建立与医保经办机构合署办公机制，进行必要的信息交换和数据共享，为参保人员提供“一站式”的理赔服务，医保经办机构为承办机构提供专用的业务受理窗口和办公场所。</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（3）承办机构</w:t>
      </w:r>
      <w:r>
        <w:rPr>
          <w:rFonts w:hint="eastAsia" w:ascii="宋体" w:hAnsi="宋体"/>
          <w:bCs/>
          <w:sz w:val="24"/>
        </w:rPr>
        <w:t xml:space="preserve">配备必要的巡查车辆，</w:t>
      </w:r>
      <w:r>
        <w:rPr>
          <w:rFonts w:hint="eastAsia" w:ascii="宋体" w:hAnsi="宋体"/>
          <w:sz w:val="24"/>
        </w:rPr>
        <w:t xml:space="preserve">项目用车标准为市本级不少于5辆、武进区不少于3辆、溧阳市和金坛区不少于2辆，其中商务用车市本级不少于2辆，武进区、溧阳市、</w:t>
      </w:r>
      <w:r>
        <w:rPr>
          <w:rFonts w:hint="eastAsia" w:ascii="宋体" w:hAnsi="宋体"/>
          <w:sz w:val="24"/>
        </w:rPr>
        <w:t xml:space="preserve">金坛区各不少于1辆。</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3.信息化服务要求</w:t>
      </w:r>
      <w:r>
        <w:rPr>
          <w:rFonts w:ascii="宋体" w:hAnsi="宋体"/>
          <w:b/>
          <w:bCs/>
          <w:sz w:val="24"/>
        </w:rPr>
      </w:r>
      <w:r/>
    </w:p>
    <w:p>
      <w:pPr>
        <w:pStyle w:val="982"/>
        <w:ind w:firstLine="480"/>
        <w:spacing w:line="360" w:lineRule="auto"/>
        <w:rPr>
          <w:rFonts w:ascii="宋体" w:hAnsi="宋体"/>
          <w:bCs/>
          <w:sz w:val="24"/>
        </w:rPr>
      </w:pPr>
      <w:r>
        <w:rPr>
          <w:rFonts w:hint="eastAsia" w:ascii="宋体" w:hAnsi="宋体"/>
          <w:sz w:val="24"/>
        </w:rPr>
        <w:t xml:space="preserve">承办机构应配备开展各项业务且与工作量及服务团队人员数量相适应的信息化用品及网络，如计算机、高拍仪、电子凭证扫码盒子、智能平板、打印机、复印机和传真机等</w:t>
      </w:r>
      <w:r>
        <w:rPr>
          <w:rFonts w:hint="eastAsia" w:ascii="宋体" w:hAnsi="宋体"/>
          <w:bCs/>
          <w:sz w:val="24"/>
        </w:rPr>
        <w:t xml:space="preserve">；按照大病保险政策要求，提供基金分析、结算和监管等相关软件和相应设备。</w:t>
      </w:r>
      <w:r>
        <w:rPr>
          <w:rFonts w:ascii="宋体" w:hAnsi="宋体"/>
          <w:bCs/>
          <w:sz w:val="24"/>
        </w:rPr>
      </w:r>
      <w:r/>
    </w:p>
    <w:p>
      <w:pPr>
        <w:pStyle w:val="982"/>
        <w:ind w:firstLine="482"/>
        <w:spacing w:line="360" w:lineRule="auto"/>
        <w:rPr>
          <w:rFonts w:ascii="宋体" w:hAnsi="宋体"/>
          <w:b/>
          <w:bCs/>
          <w:sz w:val="24"/>
        </w:rPr>
      </w:pPr>
      <w:r>
        <w:rPr>
          <w:rFonts w:hint="eastAsia" w:ascii="宋体" w:hAnsi="宋体"/>
          <w:b/>
          <w:bCs/>
          <w:sz w:val="24"/>
        </w:rPr>
        <w:t xml:space="preserve">4.基金管理要求</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承办机构须建立完善的，符合本项目实际情况的财务管理制度，并报医保经办机构进行备案；设立独立的大病保险资金账户及赔款账户，实行专户存储、专款专用，确保资金安全，保证偿付能力，定期与医保经办机构对专用银行账户资金进行核对。</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同时要建立</w:t>
      </w:r>
      <w:r>
        <w:rPr>
          <w:rFonts w:hint="eastAsia" w:ascii="宋体" w:hAnsi="宋体"/>
          <w:sz w:val="24"/>
        </w:rPr>
        <w:t xml:space="preserve">风险预警机制，确保大病保险制度健康可持续运行。承办机构每月20日前将上一月大病保险项目运行成本情况书面汇总报表交送医保经办机构备案，并按保险年度形成年度书面总结报告交送医保经办机构，报表中需列支综合管理成本金额及明细，并提出有效的成本管控措施。对显失合理的成本需另附说明。坚持秉承“保本微利”原则，建立大病保险分析指标数据库及预警报告机制，根据医保政策通过多维度纵横向对比，对赔付进行追踪并监控赔付进展，预测大病保险年度赔付趋势并及时报告，每年1月末和7月末上报当年度赔付趋势报告，确保大病保险基金安全和项目可持</w:t>
      </w:r>
      <w:r>
        <w:rPr>
          <w:rFonts w:hint="eastAsia" w:ascii="宋体" w:hAnsi="宋体"/>
          <w:sz w:val="24"/>
        </w:rPr>
        <w:t xml:space="preserve">续运行。</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5.数据保密要求</w:t>
      </w:r>
      <w:r>
        <w:rPr>
          <w:rFonts w:ascii="宋体" w:hAnsi="宋体"/>
          <w:b/>
          <w:bCs/>
          <w:sz w:val="24"/>
        </w:rPr>
      </w:r>
      <w:r/>
    </w:p>
    <w:p>
      <w:pPr>
        <w:pStyle w:val="982"/>
        <w:ind w:firstLine="480"/>
        <w:spacing w:line="360" w:lineRule="auto"/>
        <w:rPr>
          <w:rFonts w:ascii="宋体" w:hAnsi="宋体"/>
          <w:sz w:val="24"/>
        </w:rPr>
      </w:pPr>
      <w:r>
        <w:rPr>
          <w:rFonts w:hint="eastAsia" w:ascii="宋体" w:hAnsi="宋体"/>
          <w:sz w:val="24"/>
        </w:rPr>
        <w:t xml:space="preserve">承办机构对医保经办机构提供的参保人员相关信息、数据、资料承担保密责任，不得用于其他用途，并不得向第三方泄露。如承办机构向第三方泄露本项目相关信息、数据、资料等，一经核实，医保经办机构有权终止合同并依法追究承办机构法律责任。</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承办机构不得利用承办大病保险之便推销或者变相推销其他商业保险产品。</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6.其他要求</w:t>
      </w:r>
      <w:r>
        <w:rPr>
          <w:rFonts w:ascii="宋体" w:hAnsi="宋体"/>
          <w:b/>
          <w:bCs/>
          <w:sz w:val="24"/>
        </w:rPr>
      </w:r>
      <w:r/>
    </w:p>
    <w:p>
      <w:pPr>
        <w:pStyle w:val="982"/>
        <w:ind w:firstLine="480"/>
        <w:jc w:val="left"/>
        <w:spacing w:line="360" w:lineRule="auto"/>
        <w:rPr>
          <w:rFonts w:ascii="宋体" w:hAnsi="宋体"/>
          <w:sz w:val="24"/>
        </w:rPr>
      </w:pPr>
      <w:r>
        <w:rPr>
          <w:rFonts w:hint="eastAsia" w:ascii="宋体" w:hAnsi="宋体"/>
          <w:sz w:val="24"/>
        </w:rPr>
        <w:t xml:space="preserve">承办机构应当不断提升经办质量，为参保人员提供优质服务。医保经办机构定期开展考核并将结果与履约保证金、盈亏金额、续签合同等挂钩。承办机构须严格遵守医保基金管理规定，严禁联合或串通医药机构或参保人员骗取或套取基本医疗保险、大病保险基金，一经查实将终止合同并依法追究其法律责任。同时应积极开展多渠道医保政策宣传，通过新媒体、传统媒体等多种形式做好政策宣导工作。服务期间内如遇大病保险政策调整，须严格按照最新政策规定执行。</w:t>
      </w:r>
      <w:r>
        <w:rPr>
          <w:rFonts w:ascii="宋体" w:hAnsi="宋体"/>
          <w:sz w:val="24"/>
        </w:rPr>
      </w:r>
      <w:r/>
    </w:p>
    <w:p>
      <w:pPr>
        <w:pStyle w:val="982"/>
        <w:ind w:firstLine="482"/>
        <w:spacing w:line="360" w:lineRule="auto"/>
        <w:rPr>
          <w:rFonts w:ascii="宋体" w:hAnsi="宋体"/>
          <w:b/>
          <w:bCs/>
          <w:sz w:val="24"/>
        </w:rPr>
      </w:pPr>
      <w:r>
        <w:rPr>
          <w:rFonts w:hint="eastAsia" w:ascii="宋体" w:hAnsi="宋体"/>
          <w:b/>
          <w:bCs/>
          <w:sz w:val="24"/>
        </w:rPr>
        <w:t xml:space="preserve">四、违约责任</w:t>
      </w:r>
      <w:r>
        <w:rPr>
          <w:rFonts w:ascii="宋体" w:hAnsi="宋体"/>
          <w:b/>
          <w:bCs/>
          <w:sz w:val="24"/>
        </w:rPr>
      </w:r>
      <w:r/>
    </w:p>
    <w:p>
      <w:pPr>
        <w:pStyle w:val="982"/>
        <w:ind w:firstLine="480"/>
        <w:jc w:val="left"/>
        <w:spacing w:line="360" w:lineRule="auto"/>
        <w:rPr>
          <w:rFonts w:ascii="宋体" w:hAnsi="宋体"/>
          <w:sz w:val="24"/>
        </w:rPr>
      </w:pPr>
      <w:r>
        <w:rPr>
          <w:rFonts w:hint="eastAsia" w:ascii="宋体" w:hAnsi="宋体"/>
          <w:sz w:val="24"/>
        </w:rPr>
        <w:t xml:space="preserve">1.医保经办机构、承办机构双方应认真履行合同，由于某一方的过失使合同不能履行或造成其它后果的，由过失方承担相应责任；承办机构在投标文件中所列的相关承诺视为承办机构责任，如承办机构未履行相关承诺，则本项目履约保证金不予退还；如在项目实施过程中，承办机构违约情节严</w:t>
      </w:r>
      <w:r>
        <w:rPr>
          <w:rFonts w:hint="eastAsia" w:ascii="宋体" w:hAnsi="宋体"/>
          <w:sz w:val="24"/>
        </w:rPr>
        <w:t xml:space="preserve">重，医保经办机构有权终止合同，由此造成医保经办机构及参保人的经济损失由承办机构承担。如属双方过失，则根据各自过失的大小，分别承担相应的责任。</w:t>
      </w:r>
      <w:r>
        <w:rPr>
          <w:rFonts w:ascii="宋体" w:hAnsi="宋体"/>
          <w:sz w:val="24"/>
        </w:rPr>
      </w:r>
      <w:r/>
    </w:p>
    <w:p>
      <w:pPr>
        <w:pStyle w:val="982"/>
        <w:ind w:firstLine="480"/>
        <w:jc w:val="left"/>
        <w:spacing w:line="360" w:lineRule="auto"/>
        <w:rPr>
          <w:rFonts w:ascii="宋体" w:hAnsi="宋体"/>
          <w:sz w:val="24"/>
        </w:rPr>
      </w:pPr>
      <w:r>
        <w:rPr>
          <w:rFonts w:hint="eastAsia" w:ascii="宋体" w:hAnsi="宋体"/>
          <w:sz w:val="24"/>
        </w:rPr>
        <w:t xml:space="preserve">2.由于不可抗力因素造成合同不能履行时，医保经办机构及承办机构均不承担责任。如有损失，则由损失方自理。</w:t>
      </w:r>
      <w:r>
        <w:rPr>
          <w:rFonts w:ascii="宋体" w:hAnsi="宋体"/>
          <w:sz w:val="24"/>
        </w:rPr>
      </w:r>
      <w:r/>
    </w:p>
    <w:p>
      <w:pPr>
        <w:pStyle w:val="982"/>
        <w:ind w:firstLine="480"/>
        <w:jc w:val="left"/>
        <w:spacing w:line="360" w:lineRule="auto"/>
        <w:rPr>
          <w:rFonts w:ascii="宋体" w:hAnsi="宋体"/>
          <w:sz w:val="24"/>
        </w:rPr>
      </w:pPr>
      <w:r>
        <w:rPr>
          <w:rFonts w:hint="eastAsia" w:ascii="宋体" w:hAnsi="宋体"/>
          <w:sz w:val="24"/>
        </w:rPr>
        <w:t xml:space="preserve">3.医保经办机构、承办机构双方在执行合同过程中所发生的争议，应先通过友好协商解决，协商不成时，任何一方有权诉诸人民法院。</w:t>
      </w:r>
      <w:r>
        <w:rPr>
          <w:rFonts w:ascii="宋体" w:hAnsi="宋体"/>
          <w:sz w:val="24"/>
        </w:rPr>
      </w:r>
      <w:r/>
    </w:p>
    <w:p>
      <w:pPr>
        <w:pStyle w:val="982"/>
        <w:ind w:firstLine="482"/>
        <w:jc w:val="left"/>
        <w:spacing w:line="360" w:lineRule="auto"/>
        <w:rPr>
          <w:rFonts w:ascii="黑体" w:eastAsia="黑体"/>
          <w:b/>
          <w:spacing w:val="-10"/>
          <w:sz w:val="36"/>
          <w:szCs w:val="36"/>
        </w:rPr>
      </w:pPr>
      <w:r>
        <w:rPr>
          <w:rFonts w:hint="eastAsia" w:ascii="宋体" w:hAnsi="宋体"/>
          <w:b/>
          <w:bCs/>
          <w:sz w:val="24"/>
        </w:rPr>
        <w:t xml:space="preserve">注：标★项为实质性条款，提供承诺函，不提供承诺函的作为无效标处理。</w:t>
      </w:r>
      <w:r>
        <w:rPr>
          <w:rFonts w:ascii="黑体" w:eastAsia="黑体"/>
          <w:b/>
          <w:spacing w:val="-10"/>
          <w:sz w:val="36"/>
          <w:szCs w:val="36"/>
        </w:rPr>
      </w:r>
      <w:r/>
    </w:p>
    <w:p>
      <w:pPr>
        <w:pStyle w:val="1076"/>
        <w:jc w:val="both"/>
        <w:rPr>
          <w:rFonts w:ascii="Times New Roman" w:hAnsi="Times New Roman"/>
          <w:b/>
          <w:highlight w:val="yellow"/>
          <w:lang w:eastAsia="zh-CN"/>
        </w:rPr>
      </w:pPr>
      <w:r>
        <w:rPr>
          <w:rFonts w:ascii="Times New Roman" w:hAnsi="Times New Roman"/>
          <w:b/>
          <w:highlight w:val="yellow"/>
          <w:lang w:eastAsia="zh-CN"/>
        </w:rPr>
      </w:r>
      <w:r/>
    </w:p>
    <w:p>
      <w:pPr>
        <w:pStyle w:val="982"/>
        <w:ind w:firstLine="480"/>
        <w:spacing w:line="360" w:lineRule="auto"/>
        <w:rPr>
          <w:rFonts w:ascii="等线" w:hAnsi="等线" w:eastAsia="等线" w:cs="等线"/>
          <w:i/>
          <w:sz w:val="24"/>
          <w:szCs w:val="24"/>
          <w:u w:val="single"/>
        </w:rPr>
      </w:pPr>
      <w:r>
        <w:rPr>
          <w:rFonts w:hint="eastAsia" w:ascii="等线" w:hAnsi="等线" w:eastAsia="等线" w:cs="等线"/>
          <w:b/>
          <w:bCs/>
          <w:sz w:val="24"/>
          <w:szCs w:val="24"/>
        </w:rPr>
        <w:t xml:space="preserve">（五）实质性要求汇总</w:t>
      </w:r>
      <w:r>
        <w:rPr>
          <w:rFonts w:ascii="等线" w:hAnsi="等线" w:eastAsia="等线" w:cs="等线"/>
          <w:i/>
          <w:sz w:val="24"/>
          <w:szCs w:val="24"/>
          <w:u w:val="singl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5889"/>
        <w:gridCol w:w="2571"/>
      </w:tblGrid>
      <w:tr>
        <w:trPr>
          <w:trHeight w:val="651"/>
        </w:trPr>
        <w:tc>
          <w:tcPr>
            <w:tcW w:w="423"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序号</w:t>
            </w:r>
            <w:r>
              <w:rPr>
                <w:rFonts w:ascii="等线" w:hAnsi="等线" w:eastAsia="等线" w:cs="等线"/>
                <w:bCs/>
                <w:iCs/>
                <w:color w:val="000000"/>
                <w:sz w:val="24"/>
                <w:szCs w:val="24"/>
              </w:rPr>
            </w:r>
            <w:r/>
          </w:p>
        </w:tc>
        <w:tc>
          <w:tcPr>
            <w:tcW w:w="3186"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实质性要求</w:t>
            </w:r>
            <w:r>
              <w:rPr>
                <w:rFonts w:ascii="等线" w:hAnsi="等线" w:eastAsia="等线" w:cs="等线"/>
                <w:bCs/>
                <w:iCs/>
                <w:color w:val="000000"/>
                <w:sz w:val="24"/>
                <w:szCs w:val="24"/>
              </w:rPr>
            </w:r>
            <w:r/>
          </w:p>
        </w:tc>
        <w:tc>
          <w:tcPr>
            <w:tcW w:w="1391"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证明材料</w:t>
            </w:r>
            <w:r>
              <w:rPr>
                <w:rFonts w:ascii="等线" w:hAnsi="等线" w:eastAsia="等线" w:cs="等线"/>
                <w:bCs/>
                <w:iCs/>
                <w:color w:val="000000"/>
                <w:sz w:val="24"/>
                <w:szCs w:val="24"/>
              </w:rPr>
            </w:r>
            <w:r/>
          </w:p>
        </w:tc>
      </w:tr>
      <w:tr>
        <w:trPr>
          <w:trHeight w:val="1445"/>
        </w:trPr>
        <w:tc>
          <w:tcPr>
            <w:tcW w:w="423"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1</w:t>
            </w:r>
            <w:r>
              <w:rPr>
                <w:rFonts w:ascii="等线" w:hAnsi="等线" w:eastAsia="等线" w:cs="等线"/>
                <w:bCs/>
                <w:iCs/>
                <w:color w:val="000000"/>
                <w:sz w:val="24"/>
                <w:szCs w:val="24"/>
              </w:rPr>
            </w:r>
            <w:r/>
          </w:p>
        </w:tc>
        <w:tc>
          <w:tcPr>
            <w:tcW w:w="3186" w:type="pct"/>
            <w:vAlign w:val="center"/>
            <w:textDirection w:val="lrTb"/>
            <w:noWrap w:val="false"/>
          </w:tcPr>
          <w:p>
            <w:pPr>
              <w:pStyle w:val="982"/>
              <w:spacing w:line="360" w:lineRule="auto"/>
              <w:rPr>
                <w:rFonts w:hint="eastAsia" w:ascii="宋体" w:hAnsi="宋体"/>
                <w:b/>
                <w:bCs/>
                <w:color w:val="000000"/>
                <w:sz w:val="24"/>
              </w:rPr>
            </w:pPr>
            <w:r>
              <w:rPr>
                <w:rFonts w:hint="eastAsia" w:ascii="宋体" w:hAnsi="宋体"/>
                <w:b/>
                <w:bCs/>
                <w:color w:val="000000"/>
                <w:sz w:val="24"/>
              </w:rPr>
              <w:t xml:space="preserve">运行成本</w:t>
            </w:r>
            <w:r/>
          </w:p>
          <w:p>
            <w:pPr>
              <w:pStyle w:val="982"/>
              <w:spacing w:line="294" w:lineRule="exac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项目运行成本控制在年度保费总额4.5%以内，并满足以下要求：</w:t>
            </w:r>
            <w:r>
              <w:rPr>
                <w:rFonts w:ascii="宋体" w:hAnsi="宋体"/>
                <w:color w:val="000000"/>
                <w:sz w:val="24"/>
              </w:rPr>
            </w:r>
            <w:r/>
          </w:p>
          <w:p>
            <w:pPr>
              <w:pStyle w:val="982"/>
              <w:spacing w:line="294" w:lineRule="exac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（1）人力成本标准：平均人力成本不低于上年度常州市城镇私营单位就业人员年平均工资。</w:t>
            </w:r>
            <w:r>
              <w:rPr>
                <w:rFonts w:ascii="宋体" w:hAnsi="宋体"/>
                <w:color w:val="000000"/>
                <w:sz w:val="24"/>
              </w:rPr>
            </w:r>
            <w:r/>
          </w:p>
          <w:p>
            <w:pPr>
              <w:pStyle w:val="982"/>
              <w:spacing w:line="294" w:lineRule="exac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（2）成本构成范围：包括人工成本、设备费用、车辆保障费用、审计成本、信息维护人员费用及宣传培训费用等。</w:t>
            </w:r>
            <w:r>
              <w:rPr>
                <w:rFonts w:ascii="宋体" w:hAnsi="宋体"/>
                <w:color w:val="000000"/>
                <w:sz w:val="24"/>
              </w:rPr>
            </w:r>
            <w:r/>
          </w:p>
          <w:p>
            <w:pPr>
              <w:pStyle w:val="982"/>
              <w:jc w:val="left"/>
              <w:rPr>
                <w:rFonts w:ascii="等线" w:hAnsi="等线" w:eastAsia="等线" w:cs="等线"/>
                <w:bCs/>
                <w:iCs/>
                <w:color w:val="000000"/>
                <w:sz w:val="24"/>
                <w:szCs w:val="24"/>
              </w:rPr>
            </w:pPr>
            <w:r>
              <w:rPr>
                <w:rFonts w:hint="eastAsia" w:ascii="宋体" w:hAnsi="宋体"/>
                <w:color w:val="000000"/>
                <w:sz w:val="24"/>
              </w:rPr>
              <w:t xml:space="preserve">（3）清算要求：年度清算时，</w:t>
            </w:r>
            <w:r>
              <w:rPr>
                <w:rFonts w:hint="eastAsia" w:ascii="宋体" w:hAnsi="宋体"/>
                <w:color w:val="000000"/>
                <w:sz w:val="24"/>
                <w:szCs w:val="24"/>
              </w:rPr>
              <w:t xml:space="preserve">医保经办机构先聘请</w:t>
            </w:r>
            <w:r>
              <w:rPr>
                <w:rFonts w:hint="eastAsia" w:ascii="宋体" w:hAnsi="宋体"/>
                <w:color w:val="000000"/>
                <w:sz w:val="24"/>
              </w:rPr>
              <w:t xml:space="preserve">具备资质的审计机构对大病保险运营情况进行专项审计</w:t>
            </w:r>
            <w:r>
              <w:rPr>
                <w:rFonts w:hint="eastAsia" w:ascii="宋体" w:hAnsi="宋体"/>
                <w:color w:val="000000"/>
                <w:sz w:val="24"/>
                <w:szCs w:val="24"/>
              </w:rPr>
              <w:t xml:space="preserve">（审计费用列入项目运行成本），并根据审计结果确定实际运行成本。</w:t>
            </w:r>
            <w:r>
              <w:rPr>
                <w:rFonts w:ascii="等线" w:hAnsi="等线" w:eastAsia="等线" w:cs="等线"/>
                <w:bCs/>
                <w:iCs/>
                <w:color w:val="000000"/>
                <w:sz w:val="24"/>
                <w:szCs w:val="24"/>
              </w:rPr>
            </w:r>
            <w:r/>
          </w:p>
        </w:tc>
        <w:tc>
          <w:tcPr>
            <w:tcW w:w="1391" w:type="pct"/>
            <w:vAlign w:val="center"/>
            <w:textDirection w:val="lrTb"/>
            <w:noWrap w:val="false"/>
          </w:tcPr>
          <w:p>
            <w:pPr>
              <w:pStyle w:val="982"/>
              <w:jc w:val="center"/>
              <w:rPr>
                <w:rFonts w:hint="eastAsia" w:ascii="等线" w:hAnsi="等线" w:eastAsia="等线" w:cs="等线"/>
                <w:bCs/>
                <w:iCs/>
                <w:color w:val="000000"/>
                <w:sz w:val="24"/>
                <w:szCs w:val="24"/>
              </w:rPr>
            </w:pPr>
            <w:r>
              <w:rPr>
                <w:rFonts w:hint="eastAsia" w:ascii="宋体" w:hAnsi="宋体" w:eastAsia="等线" w:cs="宋体"/>
                <w:color w:val="000000"/>
                <w:sz w:val="24"/>
                <w:szCs w:val="24"/>
              </w:rPr>
              <w:t xml:space="preserve">承诺函</w:t>
            </w:r>
            <w:r>
              <w:rPr>
                <w:rFonts w:hint="eastAsia" w:ascii="等线" w:hAnsi="等线" w:eastAsia="等线" w:cs="等线"/>
                <w:bCs/>
                <w:iCs/>
                <w:color w:val="000000"/>
                <w:sz w:val="24"/>
                <w:szCs w:val="24"/>
              </w:rPr>
            </w:r>
            <w:r/>
          </w:p>
        </w:tc>
      </w:tr>
      <w:tr>
        <w:trPr>
          <w:trHeight w:val="1651"/>
        </w:trPr>
        <w:tc>
          <w:tcPr>
            <w:tcW w:w="423"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2</w:t>
            </w:r>
            <w:r>
              <w:rPr>
                <w:rFonts w:ascii="等线" w:hAnsi="等线" w:eastAsia="等线" w:cs="等线"/>
                <w:bCs/>
                <w:iCs/>
                <w:color w:val="000000"/>
                <w:sz w:val="24"/>
                <w:szCs w:val="24"/>
              </w:rPr>
            </w:r>
            <w:r/>
          </w:p>
        </w:tc>
        <w:tc>
          <w:tcPr>
            <w:tcW w:w="3186" w:type="pct"/>
            <w:vAlign w:val="center"/>
            <w:textDirection w:val="lrTb"/>
            <w:noWrap w:val="false"/>
          </w:tcPr>
          <w:p>
            <w:pPr>
              <w:pStyle w:val="982"/>
              <w:spacing w:line="360" w:lineRule="auto"/>
              <w:rPr>
                <w:rFonts w:hint="eastAsia" w:ascii="宋体" w:hAnsi="宋体"/>
                <w:b/>
                <w:bCs/>
                <w:color w:val="000000"/>
                <w:sz w:val="24"/>
              </w:rPr>
            </w:pPr>
            <w:r>
              <w:rPr>
                <w:rFonts w:hint="eastAsia" w:ascii="宋体" w:hAnsi="宋体"/>
                <w:b/>
                <w:bCs/>
                <w:color w:val="000000"/>
                <w:sz w:val="24"/>
              </w:rPr>
              <w:t xml:space="preserve">风险调节和盈余清算</w:t>
            </w:r>
            <w:r/>
          </w:p>
          <w:p>
            <w:pPr>
              <w:pStyle w:val="982"/>
              <w:spacing w:line="294" w:lineRule="exac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年度盈（亏）率=（年度大病保险保费实际总额-年度大病保险理赔总额-年度大病保险</w:t>
            </w:r>
            <w:r>
              <w:rPr>
                <w:rFonts w:hint="eastAsia" w:ascii="宋体" w:hAnsi="宋体"/>
                <w:color w:val="000000"/>
                <w:sz w:val="24"/>
              </w:rPr>
              <w:t xml:space="preserve">项目运行成本支出总额）</w:t>
            </w:r>
            <w:r>
              <w:rPr>
                <w:rFonts w:ascii="宋体" w:hAnsi="宋体"/>
                <w:color w:val="000000"/>
                <w:sz w:val="24"/>
              </w:rPr>
              <w:t xml:space="preserve">÷</w:t>
            </w:r>
            <w:r>
              <w:rPr>
                <w:rFonts w:hint="eastAsia" w:ascii="宋体" w:hAnsi="宋体"/>
                <w:color w:val="000000"/>
                <w:sz w:val="24"/>
              </w:rPr>
              <w:t xml:space="preserve">年度大病保险保费实际总额</w:t>
            </w:r>
            <w:r>
              <w:rPr>
                <w:rFonts w:ascii="宋体" w:hAnsi="宋体"/>
                <w:color w:val="000000"/>
                <w:sz w:val="24"/>
              </w:rPr>
              <w:t xml:space="preserve">×</w:t>
            </w:r>
            <w:r>
              <w:rPr>
                <w:rFonts w:hint="eastAsia" w:ascii="宋体" w:hAnsi="宋体"/>
                <w:color w:val="000000"/>
                <w:sz w:val="24"/>
              </w:rPr>
              <w:t xml:space="preserve">100%</w:t>
            </w:r>
            <w:r>
              <w:rPr>
                <w:rFonts w:ascii="宋体" w:hAnsi="宋体"/>
                <w:color w:val="000000"/>
                <w:sz w:val="24"/>
              </w:rPr>
            </w:r>
            <w:r/>
          </w:p>
          <w:p>
            <w:pPr>
              <w:pStyle w:val="982"/>
              <w:spacing w:line="294"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当年大病保险基金支付给承办机构的保费收入扣除当年承办机构支付给参保人员的大病保险理赔金额和运行成本后，存在结余，承办机构可以获得盈利，年度盈利额按实际情况动态确定，但不得超过年度大病保险保费实际总额的0.1%。</w:t>
            </w:r>
            <w:r/>
          </w:p>
          <w:p>
            <w:pPr>
              <w:pStyle w:val="982"/>
              <w:spacing w:line="294" w:lineRule="exact"/>
              <w:rPr>
                <w:rFonts w:hint="eastAsia" w:ascii="宋体" w:hAnsi="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（1）分险种计算各险种大病保险基金，若职工基金和居民基金均未出现亏损，年度盈利率在0.1%以内的部分归承办机构所有；年度盈利率超过0.1%的部分全额退回大病保险基金专户。</w:t>
            </w:r>
            <w:r>
              <w:rPr>
                <w:rFonts w:hint="eastAsia" w:ascii="宋体" w:hAnsi="宋体"/>
                <w:b/>
                <w:bCs/>
                <w:color w:val="000000"/>
                <w:sz w:val="24"/>
              </w:rPr>
            </w:r>
            <w:r/>
          </w:p>
          <w:p>
            <w:pPr>
              <w:pStyle w:val="982"/>
              <w:spacing w:line="294"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年度盈利额=年度大病保险保费实际总额*年度盈利率</w:t>
            </w:r>
            <w:r/>
          </w:p>
          <w:p>
            <w:pPr>
              <w:pStyle w:val="982"/>
              <w:spacing w:line="294" w:lineRule="exact"/>
              <w:rPr>
                <w:rFonts w:hint="eastAsia" w:ascii="宋体" w:hAnsi="宋体" w:eastAsia="等线"/>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（2）若职工基金或居民基金其中之一存在亏损，则亏损险种保费不计入年度盈利额计算过</w:t>
            </w:r>
            <w:r>
              <w:rPr>
                <w:rFonts w:hint="eastAsia" w:ascii="宋体" w:hAnsi="宋体" w:eastAsia="等线"/>
                <w:color w:val="000000"/>
                <w:sz w:val="24"/>
                <w:szCs w:val="22"/>
              </w:rPr>
              <w:t xml:space="preserve">程。</w:t>
            </w:r>
            <w:r>
              <w:rPr>
                <w:rFonts w:hint="eastAsia" w:ascii="宋体" w:hAnsi="宋体"/>
                <w:color w:val="000000"/>
                <w:sz w:val="24"/>
              </w:rPr>
              <w:t xml:space="preserve">年度盈利率在0.1%以内的部分归承办机构所有；年度盈利率超过0.1%的部分全额退回大病保险基金专户。</w:t>
            </w:r>
            <w:r>
              <w:rPr>
                <w:rFonts w:hint="eastAsia" w:ascii="宋体" w:hAnsi="宋体" w:eastAsia="等线"/>
                <w:color w:val="000000"/>
                <w:sz w:val="24"/>
                <w:szCs w:val="22"/>
              </w:rPr>
            </w:r>
            <w:r/>
          </w:p>
          <w:p>
            <w:pPr>
              <w:pStyle w:val="982"/>
              <w:spacing w:line="294"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年度盈利额=（年度大病保险保费实际总额-年度亏损险种保费总额）*年度盈利率</w:t>
            </w:r>
            <w:r/>
          </w:p>
          <w:p>
            <w:pPr>
              <w:pStyle w:val="982"/>
              <w:jc w:val="left"/>
              <w:rPr>
                <w:rFonts w:ascii="等线" w:hAnsi="等线" w:eastAsia="等线" w:cs="等线"/>
                <w:bCs/>
                <w:iCs/>
                <w:color w:val="000000"/>
                <w:sz w:val="24"/>
                <w:szCs w:val="24"/>
              </w:rPr>
            </w:pPr>
            <w:r>
              <w:rPr>
                <w:rFonts w:hint="eastAsia" w:ascii="宋体" w:hAnsi="宋体"/>
                <w:color w:val="000000"/>
                <w:sz w:val="24"/>
              </w:rPr>
              <w:t xml:space="preserve">当年大病保险基金支付给承办机构的保费收入扣除当年承办机构支付给参保人员的大病保险理赔金额和运行成本后，存在亏损，亏损金额分段计算，年度亏损率在1.0%（含1.0%）以内的部分，承办机构全额承担亏损金额；年度亏损率在1.0%-3.0%的部分（不含1.0%，含3.0%），</w:t>
            </w:r>
            <w:r>
              <w:rPr>
                <w:rFonts w:hint="eastAsia" w:ascii="宋体" w:hAnsi="宋体"/>
                <w:color w:val="000000"/>
                <w:sz w:val="24"/>
              </w:rPr>
              <w:t xml:space="preserve">承办机构承担亏损金额的50%；年度亏损率超过3.0%的部分，承办机构承担亏损金额的15%。</w:t>
            </w:r>
            <w:r>
              <w:rPr>
                <w:rFonts w:ascii="等线" w:hAnsi="等线" w:eastAsia="等线" w:cs="等线"/>
                <w:bCs/>
                <w:iCs/>
                <w:color w:val="000000"/>
                <w:sz w:val="24"/>
                <w:szCs w:val="24"/>
              </w:rPr>
            </w:r>
            <w:r/>
          </w:p>
        </w:tc>
        <w:tc>
          <w:tcPr>
            <w:tcW w:w="1391" w:type="pct"/>
            <w:vAlign w:val="center"/>
            <w:textDirection w:val="lrTb"/>
            <w:noWrap w:val="false"/>
          </w:tcPr>
          <w:p>
            <w:pPr>
              <w:pStyle w:val="982"/>
              <w:jc w:val="center"/>
              <w:rPr>
                <w:rFonts w:hint="eastAsia" w:ascii="等线" w:hAnsi="等线" w:eastAsia="等线" w:cs="等线"/>
                <w:bCs/>
                <w:iCs/>
                <w:color w:val="000000"/>
                <w:sz w:val="24"/>
                <w:szCs w:val="24"/>
              </w:rPr>
            </w:pPr>
            <w:r>
              <w:rPr>
                <w:rFonts w:hint="eastAsia" w:ascii="宋体" w:hAnsi="宋体" w:eastAsia="等线" w:cs="宋体"/>
                <w:color w:val="000000"/>
                <w:sz w:val="24"/>
                <w:szCs w:val="24"/>
              </w:rPr>
              <w:t xml:space="preserve">承诺函</w:t>
            </w:r>
            <w:r>
              <w:rPr>
                <w:rFonts w:hint="eastAsia" w:ascii="等线" w:hAnsi="等线" w:eastAsia="等线" w:cs="等线"/>
                <w:bCs/>
                <w:iCs/>
                <w:color w:val="000000"/>
                <w:sz w:val="24"/>
                <w:szCs w:val="24"/>
              </w:rPr>
            </w:r>
            <w:r/>
          </w:p>
        </w:tc>
      </w:tr>
      <w:tr>
        <w:trPr>
          <w:trHeight w:val="907"/>
        </w:trPr>
        <w:tc>
          <w:tcPr>
            <w:tcW w:w="423" w:type="pct"/>
            <w:vAlign w:val="center"/>
            <w:textDirection w:val="lrTb"/>
            <w:noWrap w:val="false"/>
          </w:tcPr>
          <w:p>
            <w:pPr>
              <w:pStyle w:val="982"/>
              <w:jc w:val="center"/>
              <w:rPr>
                <w:rFonts w:ascii="等线" w:hAnsi="等线" w:eastAsia="等线" w:cs="等线"/>
                <w:bCs/>
                <w:iCs/>
                <w:color w:val="000000"/>
                <w:sz w:val="24"/>
                <w:szCs w:val="24"/>
              </w:rPr>
            </w:pPr>
            <w:r>
              <w:rPr>
                <w:rFonts w:hint="eastAsia" w:ascii="等线" w:hAnsi="等线" w:eastAsia="等线" w:cs="等线"/>
                <w:bCs/>
                <w:iCs/>
                <w:color w:val="000000"/>
                <w:sz w:val="24"/>
                <w:szCs w:val="24"/>
              </w:rPr>
              <w:t xml:space="preserve">3</w:t>
            </w:r>
            <w:r>
              <w:rPr>
                <w:rFonts w:ascii="等线" w:hAnsi="等线" w:eastAsia="等线" w:cs="等线"/>
                <w:bCs/>
                <w:iCs/>
                <w:color w:val="000000"/>
                <w:sz w:val="24"/>
                <w:szCs w:val="24"/>
              </w:rPr>
            </w:r>
            <w:r/>
          </w:p>
        </w:tc>
        <w:tc>
          <w:tcPr>
            <w:tcW w:w="3186" w:type="pct"/>
            <w:vAlign w:val="center"/>
            <w:textDirection w:val="lrTb"/>
            <w:noWrap w:val="false"/>
          </w:tcPr>
          <w:p>
            <w:pPr>
              <w:pStyle w:val="982"/>
              <w:spacing w:line="294" w:lineRule="exact"/>
              <w:rPr>
                <w:rFonts w:hint="eastAsia" w:ascii="宋体" w:hAnsi="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rPr>
              <w:t xml:space="preserve">承办机构衔接管理</w:t>
            </w:r>
            <w:r/>
          </w:p>
          <w:p>
            <w:pPr>
              <w:pStyle w:val="982"/>
              <w:spacing w:line="294"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本次大病保险招标如承办机构发生变化的，原承办机构和现承办机构应做好大病保险工作的交接，确保大病保险工作无缝衔接、有序运行。</w:t>
            </w:r>
            <w:r/>
          </w:p>
          <w:p>
            <w:pPr>
              <w:pStyle w:val="982"/>
              <w:jc w:val="left"/>
              <w:rPr>
                <w:rFonts w:ascii="等线" w:hAnsi="等线" w:eastAsia="等线" w:cs="等线"/>
                <w:bCs/>
                <w:iCs/>
                <w:color w:val="000000"/>
                <w:sz w:val="24"/>
                <w:szCs w:val="24"/>
              </w:rPr>
            </w:pPr>
            <w:r>
              <w:rPr>
                <w:rFonts w:hint="eastAsia" w:ascii="宋体" w:hAnsi="宋体"/>
                <w:color w:val="000000"/>
                <w:sz w:val="24"/>
              </w:rPr>
              <w:t xml:space="preserve">如本轮服务期限届满后未完成新一轮采购或未确定新的承办机构，原承办机构应继续按原合同条款履行服务义务，直至新承办机构确定并完成服务交接为止。</w:t>
            </w:r>
            <w:r>
              <w:rPr>
                <w:rFonts w:ascii="等线" w:hAnsi="等线" w:eastAsia="等线" w:cs="等线"/>
                <w:bCs/>
                <w:iCs/>
                <w:color w:val="000000"/>
                <w:sz w:val="24"/>
                <w:szCs w:val="24"/>
              </w:rPr>
            </w:r>
            <w:r/>
          </w:p>
        </w:tc>
        <w:tc>
          <w:tcPr>
            <w:tcW w:w="1391" w:type="pct"/>
            <w:vAlign w:val="center"/>
            <w:textDirection w:val="lrTb"/>
            <w:noWrap w:val="false"/>
          </w:tcPr>
          <w:p>
            <w:pPr>
              <w:pStyle w:val="982"/>
              <w:jc w:val="center"/>
              <w:rPr>
                <w:rFonts w:hint="eastAsia" w:ascii="等线" w:hAnsi="等线" w:eastAsia="等线" w:cs="等线"/>
                <w:bCs/>
                <w:iCs/>
                <w:color w:val="000000"/>
                <w:sz w:val="24"/>
                <w:szCs w:val="24"/>
              </w:rPr>
            </w:pPr>
            <w:r>
              <w:rPr>
                <w:rFonts w:hint="eastAsia" w:ascii="宋体" w:hAnsi="宋体" w:eastAsia="等线" w:cs="宋体"/>
                <w:color w:val="000000"/>
                <w:sz w:val="24"/>
                <w:szCs w:val="24"/>
              </w:rPr>
              <w:t xml:space="preserve">承诺函</w:t>
            </w:r>
            <w:r>
              <w:rPr>
                <w:rFonts w:hint="eastAsia" w:ascii="等线" w:hAnsi="等线" w:eastAsia="等线" w:cs="等线"/>
                <w:bCs/>
                <w:iCs/>
                <w:color w:val="000000"/>
                <w:sz w:val="24"/>
                <w:szCs w:val="24"/>
              </w:rPr>
            </w:r>
            <w:r/>
          </w:p>
        </w:tc>
      </w:tr>
    </w:tbl>
    <w:p>
      <w:pPr>
        <w:pStyle w:val="982"/>
        <w:rPr>
          <w:rFonts w:ascii="等线" w:hAnsi="等线" w:eastAsia="等线" w:cs="等线"/>
          <w:sz w:val="24"/>
          <w:szCs w:val="24"/>
        </w:rPr>
      </w:pPr>
      <w:r>
        <w:rPr>
          <w:rFonts w:ascii="等线" w:hAnsi="等线" w:eastAsia="等线" w:cs="等线"/>
          <w:sz w:val="24"/>
          <w:szCs w:val="24"/>
        </w:rPr>
      </w:r>
      <w:r/>
    </w:p>
    <w:p>
      <w:pPr>
        <w:pStyle w:val="982"/>
        <w:rPr>
          <w:rFonts w:ascii="等线" w:hAnsi="等线" w:eastAsia="等线" w:cs="等线"/>
          <w:sz w:val="24"/>
          <w:szCs w:val="24"/>
        </w:rPr>
      </w:pPr>
      <w:r>
        <w:rPr>
          <w:rFonts w:hint="eastAsia" w:ascii="等线" w:hAnsi="等线" w:eastAsia="等线" w:cs="等线"/>
          <w:sz w:val="24"/>
          <w:szCs w:val="24"/>
        </w:rPr>
        <w:t xml:space="preserve">（六）采购标的对应的中小企业划分标准所属行业一览表</w:t>
      </w:r>
      <w:r>
        <w:rPr>
          <w:rFonts w:ascii="等线" w:hAnsi="等线" w:eastAsia="等线" w:cs="等线"/>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547"/>
        <w:gridCol w:w="3941"/>
      </w:tblGrid>
      <w:tr>
        <w:trPr>
          <w:cantSplit/>
        </w:trPr>
        <w:tc>
          <w:tcPr>
            <w:tcW w:w="408" w:type="pct"/>
            <w:vAlign w:val="center"/>
            <w:textDirection w:val="lrTb"/>
            <w:noWrap w:val="false"/>
          </w:tcPr>
          <w:p>
            <w:pPr>
              <w:pStyle w:val="982"/>
              <w:jc w:val="center"/>
              <w:rPr>
                <w:rFonts w:ascii="等线" w:hAnsi="等线" w:eastAsia="等线" w:cs="等线"/>
                <w:sz w:val="24"/>
                <w:szCs w:val="24"/>
              </w:rPr>
            </w:pPr>
            <w:r>
              <w:rPr>
                <w:rFonts w:hint="eastAsia" w:ascii="等线" w:hAnsi="等线" w:eastAsia="等线" w:cs="等线"/>
                <w:sz w:val="24"/>
                <w:szCs w:val="24"/>
              </w:rPr>
              <w:t xml:space="preserve">序号</w:t>
            </w:r>
            <w:r>
              <w:rPr>
                <w:rFonts w:ascii="等线" w:hAnsi="等线" w:eastAsia="等线" w:cs="等线"/>
                <w:sz w:val="24"/>
                <w:szCs w:val="24"/>
              </w:rPr>
            </w:r>
            <w:r/>
          </w:p>
        </w:tc>
        <w:tc>
          <w:tcPr>
            <w:tcW w:w="2460" w:type="pct"/>
            <w:vAlign w:val="center"/>
            <w:textDirection w:val="lrTb"/>
            <w:noWrap w:val="false"/>
          </w:tcPr>
          <w:p>
            <w:pPr>
              <w:pStyle w:val="982"/>
              <w:jc w:val="center"/>
              <w:rPr>
                <w:rFonts w:ascii="等线" w:hAnsi="等线" w:eastAsia="等线" w:cs="等线"/>
                <w:sz w:val="24"/>
                <w:szCs w:val="24"/>
              </w:rPr>
            </w:pPr>
            <w:r>
              <w:rPr>
                <w:rFonts w:hint="eastAsia" w:ascii="等线" w:hAnsi="等线" w:eastAsia="等线" w:cs="等线"/>
                <w:sz w:val="24"/>
                <w:szCs w:val="24"/>
              </w:rPr>
              <w:t xml:space="preserve">采购标的</w:t>
            </w:r>
            <w:r>
              <w:rPr>
                <w:rFonts w:ascii="等线" w:hAnsi="等线" w:eastAsia="等线" w:cs="等线"/>
                <w:sz w:val="24"/>
                <w:szCs w:val="24"/>
              </w:rPr>
            </w:r>
            <w:r/>
          </w:p>
        </w:tc>
        <w:tc>
          <w:tcPr>
            <w:tcW w:w="2132" w:type="pct"/>
            <w:vAlign w:val="center"/>
            <w:textDirection w:val="lrTb"/>
            <w:noWrap w:val="false"/>
          </w:tcPr>
          <w:p>
            <w:pPr>
              <w:pStyle w:val="982"/>
              <w:jc w:val="center"/>
              <w:rPr>
                <w:rFonts w:ascii="等线" w:hAnsi="等线" w:eastAsia="等线" w:cs="等线"/>
                <w:sz w:val="24"/>
                <w:szCs w:val="24"/>
              </w:rPr>
            </w:pPr>
            <w:r>
              <w:rPr>
                <w:rFonts w:hint="eastAsia" w:ascii="等线" w:hAnsi="等线" w:eastAsia="等线" w:cs="等线"/>
                <w:sz w:val="24"/>
                <w:szCs w:val="24"/>
              </w:rPr>
              <w:t xml:space="preserve">对应中小企业划分标准所属行业</w:t>
            </w:r>
            <w:r>
              <w:rPr>
                <w:rFonts w:ascii="等线" w:hAnsi="等线" w:eastAsia="等线" w:cs="等线"/>
                <w:sz w:val="24"/>
                <w:szCs w:val="24"/>
              </w:rPr>
            </w:r>
            <w:r/>
          </w:p>
        </w:tc>
      </w:tr>
      <w:tr>
        <w:trPr>
          <w:cantSplit/>
          <w:trHeight w:val="639"/>
        </w:trPr>
        <w:tc>
          <w:tcPr>
            <w:tcW w:w="408" w:type="pct"/>
            <w:vAlign w:val="center"/>
            <w:textDirection w:val="lrTb"/>
            <w:noWrap w:val="false"/>
          </w:tcPr>
          <w:p>
            <w:pPr>
              <w:pStyle w:val="982"/>
              <w:jc w:val="center"/>
              <w:rPr>
                <w:rFonts w:ascii="等线" w:hAnsi="等线" w:eastAsia="等线" w:cs="等线"/>
                <w:sz w:val="24"/>
                <w:szCs w:val="24"/>
              </w:rPr>
            </w:pPr>
            <w:r>
              <w:rPr>
                <w:rFonts w:hint="eastAsia" w:ascii="等线" w:hAnsi="等线" w:eastAsia="等线" w:cs="等线"/>
                <w:sz w:val="24"/>
                <w:szCs w:val="24"/>
              </w:rPr>
              <w:t xml:space="preserve">1</w:t>
            </w:r>
            <w:r>
              <w:rPr>
                <w:rFonts w:ascii="等线" w:hAnsi="等线" w:eastAsia="等线" w:cs="等线"/>
                <w:sz w:val="24"/>
                <w:szCs w:val="24"/>
              </w:rPr>
            </w:r>
            <w:r/>
          </w:p>
        </w:tc>
        <w:tc>
          <w:tcPr>
            <w:tcW w:w="2460" w:type="pct"/>
            <w:vAlign w:val="center"/>
            <w:textDirection w:val="lrTb"/>
            <w:noWrap w:val="false"/>
          </w:tcPr>
          <w:p>
            <w:pPr>
              <w:pStyle w:val="982"/>
              <w:jc w:val="center"/>
              <w:rPr>
                <w:rFonts w:ascii="等线" w:hAnsi="等线" w:eastAsia="等线" w:cs="等线"/>
                <w:sz w:val="24"/>
                <w:szCs w:val="24"/>
              </w:rPr>
            </w:pPr>
            <w:r>
              <w:rPr>
                <w:rFonts w:hint="eastAsia" w:ascii="等线" w:hAnsi="等线" w:eastAsia="等线" w:cs="等线"/>
                <w:sz w:val="24"/>
                <w:szCs w:val="24"/>
              </w:rPr>
              <w:t xml:space="preserve">常州市2026-2028年度城乡居民大病保险项目</w:t>
            </w:r>
            <w:r>
              <w:rPr>
                <w:rFonts w:ascii="等线" w:hAnsi="等线" w:eastAsia="等线" w:cs="等线"/>
                <w:sz w:val="24"/>
                <w:szCs w:val="24"/>
              </w:rPr>
            </w:r>
            <w:r/>
          </w:p>
        </w:tc>
        <w:tc>
          <w:tcPr>
            <w:tcW w:w="2132" w:type="pct"/>
            <w:vAlign w:val="center"/>
            <w:textDirection w:val="lrTb"/>
            <w:noWrap w:val="false"/>
          </w:tcPr>
          <w:p>
            <w:pPr>
              <w:pStyle w:val="982"/>
              <w:jc w:val="center"/>
              <w:widowControl/>
              <w:rPr>
                <w:rFonts w:ascii="等线" w:hAnsi="等线" w:eastAsia="等线" w:cs="等线"/>
                <w:sz w:val="24"/>
                <w:szCs w:val="24"/>
              </w:rPr>
            </w:pPr>
            <w:r>
              <w:rPr>
                <w:rFonts w:hint="eastAsia" w:ascii="等线" w:hAnsi="等线" w:eastAsia="等线" w:cs="等线"/>
                <w:sz w:val="24"/>
                <w:szCs w:val="24"/>
              </w:rPr>
              <w:t xml:space="preserve">其他未列明行业</w:t>
            </w:r>
            <w:r>
              <w:rPr>
                <w:rFonts w:ascii="等线" w:hAnsi="等线" w:eastAsia="等线" w:cs="等线"/>
                <w:sz w:val="24"/>
                <w:szCs w:val="24"/>
              </w:rPr>
            </w:r>
            <w:r/>
          </w:p>
        </w:tc>
      </w:tr>
    </w:tbl>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95"/>
      </w:pPr>
      <w:r/>
      <w:r/>
    </w:p>
    <w:p>
      <w:pPr>
        <w:pStyle w:val="995"/>
        <w:rPr>
          <w:rFonts w:hint="eastAsia"/>
        </w:rPr>
      </w:pPr>
      <w:r>
        <w:rPr>
          <w:rFonts w:hint="eastAsia"/>
        </w:r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3"/>
        <w:rPr>
          <w:rFonts w:hint="eastAsia" w:ascii="黑体" w:eastAsia="黑体"/>
          <w:bCs/>
          <w:sz w:val="44"/>
        </w:rPr>
      </w:pPr>
      <w:r/>
      <w:bookmarkStart w:id="198" w:name="_Toc173761693"/>
      <w:r>
        <w:rPr>
          <w:rFonts w:hint="eastAsia" w:ascii="黑体" w:eastAsia="黑体"/>
          <w:bCs/>
          <w:sz w:val="44"/>
        </w:rPr>
        <w:t xml:space="preserve">第五章  评标方法与评标标准</w:t>
      </w:r>
      <w:bookmarkEnd w:id="198"/>
      <w:r>
        <w:rPr>
          <w:rFonts w:hint="eastAsia" w:ascii="黑体" w:eastAsia="黑体"/>
          <w:bCs/>
          <w:sz w:val="44"/>
        </w:rPr>
      </w:r>
      <w:r/>
    </w:p>
    <w:p>
      <w:pPr>
        <w:pStyle w:val="982"/>
        <w:rPr>
          <w:rFonts w:hint="eastAsia"/>
        </w:rPr>
      </w:pPr>
      <w:r>
        <w:rPr>
          <w:rFonts w:hint="eastAsia"/>
        </w:rPr>
      </w:r>
      <w:r/>
    </w:p>
    <w:p>
      <w:pPr>
        <w:pStyle w:val="1071"/>
        <w:ind w:firstLine="482"/>
        <w:spacing w:line="0" w:lineRule="atLeast"/>
        <w:rPr>
          <w:rFonts w:ascii="宋体" w:hAnsi="宋体"/>
          <w:b/>
        </w:rPr>
      </w:pPr>
      <w:r>
        <w:rPr>
          <w:rFonts w:hint="eastAsia" w:ascii="宋体" w:hAnsi="宋体"/>
          <w:b/>
        </w:rPr>
        <w:t xml:space="preserve">一、定标方式</w:t>
      </w:r>
      <w:r>
        <w:rPr>
          <w:rFonts w:ascii="宋体" w:hAnsi="宋体"/>
          <w:b/>
        </w:rPr>
      </w:r>
      <w:r/>
    </w:p>
    <w:p>
      <w:pPr>
        <w:pStyle w:val="982"/>
        <w:ind w:firstLine="480"/>
        <w:spacing w:line="560" w:lineRule="exact"/>
        <w:rPr>
          <w:rFonts w:ascii="宋体" w:hAnsi="宋体"/>
          <w:sz w:val="24"/>
        </w:rPr>
      </w:pPr>
      <w:r>
        <w:rPr>
          <w:rFonts w:hint="eastAsia" w:ascii="宋体" w:hAnsi="宋体"/>
          <w:sz w:val="24"/>
        </w:rPr>
        <w:t xml:space="preserve">1.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各分包按顺序选取一名中标候选人。本项目评分每部分的得分保留两位小数，合计得分保留两位小</w:t>
      </w:r>
      <w:r>
        <w:rPr>
          <w:rFonts w:hint="eastAsia" w:ascii="宋体" w:hAnsi="宋体"/>
          <w:sz w:val="24"/>
        </w:rPr>
        <w:t xml:space="preserve">数。</w:t>
      </w:r>
      <w:r>
        <w:rPr>
          <w:rFonts w:ascii="宋体" w:hAnsi="宋体"/>
          <w:sz w:val="24"/>
        </w:rPr>
      </w:r>
      <w:r/>
    </w:p>
    <w:p>
      <w:pPr>
        <w:pStyle w:val="982"/>
        <w:ind w:firstLine="480"/>
        <w:spacing w:line="560" w:lineRule="exact"/>
        <w:rPr>
          <w:rFonts w:ascii="宋体" w:hAnsi="宋体"/>
          <w:sz w:val="24"/>
        </w:rPr>
      </w:pPr>
      <w:r>
        <w:rPr>
          <w:rFonts w:hint="eastAsia" w:ascii="宋体" w:hAnsi="宋体"/>
          <w:sz w:val="24"/>
        </w:rPr>
        <w:t xml:space="preserve">2.本项目分为8个分包，共确定8家承办机构。</w:t>
      </w:r>
      <w:r>
        <w:rPr>
          <w:rFonts w:ascii="宋体" w:hAnsi="宋体"/>
          <w:sz w:val="24"/>
        </w:rPr>
      </w:r>
      <w:r/>
    </w:p>
    <w:p>
      <w:pPr>
        <w:pStyle w:val="982"/>
        <w:ind w:firstLine="480"/>
        <w:spacing w:line="560" w:lineRule="exact"/>
        <w:rPr>
          <w:rFonts w:ascii="宋体" w:hAnsi="宋体"/>
          <w:sz w:val="24"/>
        </w:rPr>
      </w:pPr>
      <w:r>
        <w:rPr>
          <w:rFonts w:hint="eastAsia" w:ascii="宋体" w:hAnsi="宋体"/>
          <w:sz w:val="24"/>
        </w:rPr>
        <w:t xml:space="preserve">3.</w:t>
      </w:r>
      <w:r>
        <w:rPr>
          <w:rFonts w:ascii="宋体" w:hAnsi="宋体"/>
          <w:sz w:val="24"/>
        </w:rPr>
        <w:t xml:space="preserve">每个投标</w:t>
      </w:r>
      <w:r>
        <w:rPr>
          <w:rFonts w:hint="eastAsia" w:ascii="宋体" w:hAnsi="宋体"/>
          <w:sz w:val="24"/>
        </w:rPr>
        <w:t xml:space="preserve">人可以同时投标1-8个分包，</w:t>
      </w:r>
      <w:r>
        <w:rPr>
          <w:rFonts w:ascii="宋体" w:hAnsi="宋体"/>
          <w:sz w:val="24"/>
        </w:rPr>
        <w:t xml:space="preserve">但最多只能中标一个</w:t>
      </w:r>
      <w:r>
        <w:rPr>
          <w:rFonts w:hint="eastAsia" w:ascii="宋体" w:hAnsi="宋体"/>
          <w:sz w:val="24"/>
        </w:rPr>
        <w:t xml:space="preserve">分包</w:t>
      </w:r>
      <w:r>
        <w:rPr>
          <w:rFonts w:ascii="宋体" w:hAnsi="宋体"/>
          <w:sz w:val="24"/>
        </w:rPr>
        <w:t xml:space="preserve">。</w:t>
      </w:r>
      <w:r>
        <w:rPr>
          <w:rFonts w:hint="eastAsia" w:ascii="宋体" w:hAnsi="宋体"/>
          <w:sz w:val="24"/>
        </w:rPr>
        <w:t xml:space="preserve">如2个投标人同属同一保险集团公司，则此2个投标人不能投同一分包。如出现同一保险集团公司下属2个投标人投标同一分包，则此2个投标人此分包投标均无效。</w:t>
      </w:r>
      <w:r>
        <w:rPr>
          <w:rFonts w:ascii="宋体" w:hAnsi="宋体"/>
          <w:sz w:val="24"/>
        </w:rPr>
      </w:r>
      <w:r/>
    </w:p>
    <w:p>
      <w:pPr>
        <w:pStyle w:val="982"/>
        <w:ind w:firstLine="480"/>
        <w:spacing w:line="560" w:lineRule="exact"/>
        <w:rPr>
          <w:rFonts w:ascii="宋体" w:hAnsi="宋体"/>
          <w:bCs/>
          <w:sz w:val="24"/>
        </w:rPr>
      </w:pPr>
      <w:r>
        <w:rPr>
          <w:rFonts w:hint="eastAsia" w:ascii="宋体" w:hAnsi="宋体"/>
          <w:sz w:val="24"/>
        </w:rPr>
        <w:t xml:space="preserve">4.</w:t>
      </w:r>
      <w:r>
        <w:rPr>
          <w:rFonts w:hint="eastAsia" w:ascii="宋体" w:hAnsi="宋体"/>
          <w:bCs/>
          <w:sz w:val="24"/>
        </w:rPr>
        <w:t xml:space="preserve">根据分包顺序、投标人所投分包和项目得分排名从高到低依次确定各分包中标人。前序已经中标的投标人不列入后续分包中标人的候选人名单。依次类推，直至所有分包均定标。</w:t>
      </w:r>
      <w:r>
        <w:rPr>
          <w:rFonts w:ascii="宋体" w:hAnsi="宋体"/>
          <w:bCs/>
          <w:sz w:val="24"/>
        </w:rPr>
      </w:r>
      <w:r/>
    </w:p>
    <w:p>
      <w:pPr>
        <w:pStyle w:val="982"/>
        <w:ind w:firstLine="480"/>
        <w:spacing w:line="560" w:lineRule="exact"/>
        <w:rPr>
          <w:rFonts w:ascii="宋体" w:hAnsi="宋体"/>
          <w:sz w:val="24"/>
        </w:rPr>
      </w:pPr>
      <w:r>
        <w:rPr>
          <w:rFonts w:hint="eastAsia" w:ascii="宋体" w:hAnsi="宋体"/>
          <w:sz w:val="24"/>
        </w:rPr>
        <w:t xml:space="preserve">5.若投标人项目最终总得分相同，按各投标人的技术分总得分由高到低选定；若各投标人的技术分总得分相同，按各投标人的技术分评分因素中2.1指标得分由高到低选定，若仍相同，依次比较技术分评分因素中的下一指标直至选定；仍无法确定的，由采购人在候选人名单中确认中标人。</w:t>
      </w:r>
      <w:r>
        <w:rPr>
          <w:rFonts w:ascii="宋体" w:hAnsi="宋体"/>
          <w:sz w:val="24"/>
        </w:rPr>
      </w:r>
      <w:r/>
    </w:p>
    <w:p>
      <w:pPr>
        <w:pStyle w:val="982"/>
        <w:ind w:firstLine="480"/>
        <w:spacing w:line="560" w:lineRule="exact"/>
        <w:rPr>
          <w:rFonts w:ascii="宋体" w:hAnsi="宋体"/>
          <w:sz w:val="24"/>
        </w:rPr>
      </w:pPr>
      <w:r>
        <w:rPr>
          <w:rFonts w:hint="eastAsia" w:ascii="宋体" w:hAnsi="宋体"/>
          <w:sz w:val="24"/>
        </w:rPr>
        <w:t xml:space="preserve">6.如有中标人放弃签订本项目政府采购合同和承诺书，则其评标得分排名后续投标人按顺次递补的方式确定后续分包中标人。</w:t>
      </w:r>
      <w:r>
        <w:rPr>
          <w:rFonts w:ascii="宋体" w:hAnsi="宋体"/>
          <w:sz w:val="24"/>
        </w:rPr>
      </w:r>
      <w:r/>
    </w:p>
    <w:p>
      <w:pPr>
        <w:pStyle w:val="982"/>
        <w:ind w:firstLine="480"/>
        <w:spacing w:line="560" w:lineRule="exact"/>
        <w:rPr>
          <w:rFonts w:ascii="宋体" w:hAnsi="宋体"/>
          <w:sz w:val="24"/>
        </w:rPr>
      </w:pPr>
      <w:r>
        <w:rPr>
          <w:rFonts w:hint="eastAsia" w:ascii="宋体" w:hAnsi="宋体"/>
          <w:sz w:val="24"/>
        </w:rPr>
        <w:t xml:space="preserve">7.如</w:t>
      </w:r>
      <w:r>
        <w:rPr>
          <w:rFonts w:ascii="宋体" w:hAnsi="宋体"/>
          <w:sz w:val="24"/>
        </w:rPr>
        <w:t xml:space="preserve">有效投标人≥</w:t>
      </w:r>
      <w:r>
        <w:rPr>
          <w:rFonts w:hint="eastAsia" w:ascii="宋体" w:hAnsi="宋体"/>
          <w:sz w:val="24"/>
        </w:rPr>
        <w:t xml:space="preserve">8</w:t>
      </w:r>
      <w:r>
        <w:rPr>
          <w:rFonts w:ascii="宋体" w:hAnsi="宋体"/>
          <w:sz w:val="24"/>
        </w:rPr>
        <w:t xml:space="preserve">家，</w:t>
      </w:r>
      <w:r>
        <w:rPr>
          <w:rFonts w:hint="eastAsia" w:ascii="宋体" w:hAnsi="宋体"/>
          <w:sz w:val="24"/>
        </w:rPr>
        <w:t xml:space="preserve">则</w:t>
      </w:r>
      <w:r>
        <w:rPr>
          <w:rFonts w:ascii="宋体" w:hAnsi="宋体"/>
          <w:sz w:val="24"/>
        </w:rPr>
        <w:t xml:space="preserve">根据综合评审排名选择前</w:t>
      </w:r>
      <w:r>
        <w:rPr>
          <w:rFonts w:hint="eastAsia" w:ascii="宋体" w:hAnsi="宋体"/>
          <w:sz w:val="24"/>
        </w:rPr>
        <w:t xml:space="preserve">8</w:t>
      </w:r>
      <w:r>
        <w:rPr>
          <w:rFonts w:ascii="宋体" w:hAnsi="宋体"/>
          <w:sz w:val="24"/>
        </w:rPr>
        <w:t xml:space="preserve">名为中标</w:t>
      </w:r>
      <w:r>
        <w:rPr>
          <w:rFonts w:hint="eastAsia" w:ascii="宋体" w:hAnsi="宋体"/>
          <w:sz w:val="24"/>
        </w:rPr>
        <w:t xml:space="preserve">人</w:t>
      </w:r>
      <w:r>
        <w:rPr>
          <w:rFonts w:ascii="宋体" w:hAnsi="宋体"/>
          <w:sz w:val="24"/>
        </w:rPr>
        <w:t xml:space="preserve">；如</w:t>
      </w:r>
      <w:r>
        <w:rPr>
          <w:rFonts w:hint="eastAsia" w:ascii="宋体" w:hAnsi="宋体"/>
          <w:sz w:val="24"/>
        </w:rPr>
        <w:t xml:space="preserve">4≤</w:t>
      </w:r>
      <w:r>
        <w:rPr>
          <w:rFonts w:ascii="宋体" w:hAnsi="宋体"/>
          <w:sz w:val="24"/>
        </w:rPr>
        <w:t xml:space="preserve">有效投标人</w:t>
      </w:r>
      <w:r>
        <w:rPr>
          <w:rFonts w:hint="eastAsia" w:ascii="宋体" w:hAnsi="宋体"/>
          <w:sz w:val="24"/>
        </w:rPr>
        <w:t xml:space="preserve">＜8</w:t>
      </w:r>
      <w:r>
        <w:rPr>
          <w:rFonts w:ascii="宋体" w:hAnsi="宋体"/>
          <w:sz w:val="24"/>
        </w:rPr>
        <w:t xml:space="preserve">家，</w:t>
      </w:r>
      <w:r>
        <w:rPr>
          <w:rFonts w:hint="eastAsia" w:ascii="宋体" w:hAnsi="宋体"/>
          <w:sz w:val="24"/>
        </w:rPr>
        <w:t xml:space="preserve">则无中标人的分包流标;</w:t>
      </w:r>
      <w:r>
        <w:rPr>
          <w:rFonts w:ascii="宋体" w:hAnsi="宋体"/>
          <w:sz w:val="24"/>
        </w:rPr>
        <w:t xml:space="preserve">如有效投标人不足</w:t>
      </w:r>
      <w:r>
        <w:rPr>
          <w:rFonts w:hint="eastAsia" w:ascii="宋体" w:hAnsi="宋体"/>
          <w:sz w:val="24"/>
        </w:rPr>
        <w:t xml:space="preserve">4</w:t>
      </w:r>
      <w:r>
        <w:rPr>
          <w:rFonts w:ascii="宋体" w:hAnsi="宋体"/>
          <w:sz w:val="24"/>
        </w:rPr>
        <w:t xml:space="preserve">家，</w:t>
      </w:r>
      <w:r>
        <w:rPr>
          <w:rFonts w:hint="eastAsia" w:ascii="宋体" w:hAnsi="宋体"/>
          <w:sz w:val="24"/>
        </w:rPr>
        <w:t xml:space="preserve">则</w:t>
      </w:r>
      <w:r>
        <w:rPr>
          <w:rFonts w:ascii="宋体" w:hAnsi="宋体"/>
          <w:sz w:val="24"/>
        </w:rPr>
        <w:t xml:space="preserve">本项目废标。</w:t>
      </w:r>
      <w:r>
        <w:rPr>
          <w:rFonts w:hint="eastAsia" w:ascii="宋体" w:hAnsi="宋体"/>
          <w:sz w:val="24"/>
        </w:rPr>
        <w:t xml:space="preserve">无中标人的分包流标后，后续重新招标确定,但本次中标人不得再参与。</w:t>
      </w:r>
      <w:r>
        <w:rPr>
          <w:rFonts w:ascii="宋体" w:hAnsi="宋体"/>
          <w:sz w:val="24"/>
        </w:rPr>
      </w:r>
      <w:r/>
    </w:p>
    <w:p>
      <w:pPr>
        <w:pStyle w:val="982"/>
        <w:ind w:firstLine="480"/>
        <w:spacing w:line="560" w:lineRule="exact"/>
        <w:rPr>
          <w:rFonts w:ascii="宋体" w:hAnsi="宋体"/>
          <w:sz w:val="24"/>
        </w:rPr>
      </w:pPr>
      <w:r>
        <w:rPr>
          <w:rFonts w:hint="eastAsia" w:ascii="宋体" w:hAnsi="宋体"/>
          <w:sz w:val="24"/>
        </w:rPr>
        <w:t xml:space="preserve">8.本项目属于</w:t>
      </w:r>
      <w:r>
        <w:rPr>
          <w:rFonts w:hint="eastAsia" w:ascii="宋体" w:hAnsi="宋体"/>
          <w:sz w:val="24"/>
        </w:rPr>
        <w:t xml:space="preserve">采用固定价格采购的项目，按照《市政府办公室关于建立和完善统一的大病保险制度的实施意见》(常政办发〔2021〕70号)等文件规定，以当年实际参保人数结合人均筹资标准确定大病保险保费，大病保险保费用于参保人员大病保险理赔，扣除运行成本和盈利额后结余的大病保险保费需归还基金，价格不列为评审因素，故不设置价格分，且不存在小微企业价格扣除。</w:t>
      </w:r>
      <w:r>
        <w:rPr>
          <w:rFonts w:ascii="宋体" w:hAnsi="宋体"/>
          <w:sz w:val="24"/>
        </w:rPr>
      </w:r>
      <w:r/>
    </w:p>
    <w:p>
      <w:pPr>
        <w:pStyle w:val="1071"/>
        <w:ind w:firstLine="482"/>
        <w:spacing w:line="0" w:lineRule="atLeast"/>
        <w:rPr>
          <w:rFonts w:hint="eastAsia" w:ascii="宋体" w:hAnsi="宋体"/>
          <w:b/>
        </w:rPr>
      </w:pPr>
      <w:r>
        <w:rPr>
          <w:rFonts w:hint="eastAsia" w:ascii="宋体" w:hAnsi="宋体"/>
          <w:b/>
        </w:rPr>
        <w:t xml:space="preserve">二、评标方法与评标标准(分包1-分包8)</w:t>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276"/>
        <w:gridCol w:w="4334"/>
        <w:gridCol w:w="680"/>
        <w:gridCol w:w="728"/>
        <w:gridCol w:w="782"/>
        <w:gridCol w:w="811"/>
      </w:tblGrid>
      <w:tr>
        <w:trPr>
          <w:trHeight w:val="680"/>
        </w:trPr>
        <w:tc>
          <w:tcPr>
            <w:tcW w:w="341"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序号</w:t>
            </w:r>
            <w:r>
              <w:rPr>
                <w:rFonts w:cs="等线"/>
                <w:b/>
                <w:bCs/>
                <w:color w:val="000000"/>
                <w:sz w:val="20"/>
                <w:szCs w:val="20"/>
              </w:rPr>
            </w:r>
            <w:r/>
          </w:p>
        </w:tc>
        <w:tc>
          <w:tcPr>
            <w:tcW w:w="690"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评分因素</w:t>
            </w:r>
            <w:r>
              <w:rPr>
                <w:rFonts w:cs="等线"/>
                <w:b/>
                <w:bCs/>
                <w:color w:val="000000"/>
                <w:sz w:val="20"/>
                <w:szCs w:val="20"/>
              </w:rPr>
            </w:r>
            <w:r/>
          </w:p>
        </w:tc>
        <w:tc>
          <w:tcPr>
            <w:tcW w:w="2345"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评分标准和评审材料</w:t>
            </w:r>
            <w:r>
              <w:rPr>
                <w:rFonts w:cs="等线"/>
                <w:b/>
                <w:bCs/>
                <w:color w:val="000000"/>
                <w:sz w:val="20"/>
                <w:szCs w:val="20"/>
              </w:rPr>
            </w:r>
            <w:r/>
          </w:p>
        </w:tc>
        <w:tc>
          <w:tcPr>
            <w:tcW w:w="368"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最低分值</w:t>
            </w:r>
            <w:r>
              <w:rPr>
                <w:rFonts w:cs="等线"/>
                <w:b/>
                <w:bCs/>
                <w:color w:val="000000"/>
                <w:sz w:val="20"/>
                <w:szCs w:val="20"/>
              </w:rPr>
            </w:r>
            <w:r/>
          </w:p>
        </w:tc>
        <w:tc>
          <w:tcPr>
            <w:tcW w:w="394"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最高分值</w:t>
            </w:r>
            <w:r>
              <w:rPr>
                <w:rFonts w:cs="等线"/>
                <w:b/>
                <w:bCs/>
                <w:color w:val="000000"/>
                <w:sz w:val="20"/>
                <w:szCs w:val="20"/>
              </w:rPr>
            </w:r>
            <w:r/>
          </w:p>
        </w:tc>
        <w:tc>
          <w:tcPr>
            <w:tcW w:w="423" w:type="pct"/>
            <w:vAlign w:val="center"/>
            <w:textDirection w:val="lrTb"/>
            <w:noWrap w:val="false"/>
          </w:tcPr>
          <w:p>
            <w:pPr>
              <w:pStyle w:val="982"/>
              <w:jc w:val="center"/>
              <w:rPr>
                <w:rFonts w:cs="等线"/>
                <w:b/>
                <w:bCs/>
                <w:color w:val="000000"/>
                <w:sz w:val="20"/>
                <w:szCs w:val="20"/>
              </w:rPr>
            </w:pPr>
            <w:r>
              <w:rPr>
                <w:rFonts w:hint="eastAsia" w:ascii="等线" w:hAnsi="等线" w:eastAsia="等线" w:cs="等线"/>
                <w:b/>
                <w:bCs/>
                <w:color w:val="000000"/>
                <w:sz w:val="20"/>
                <w:szCs w:val="20"/>
                <w:lang w:bidi="ar"/>
              </w:rPr>
              <w:t xml:space="preserve">是否暗标评审</w:t>
            </w:r>
            <w:r>
              <w:rPr>
                <w:rFonts w:cs="等线"/>
                <w:b/>
                <w:bCs/>
                <w:color w:val="000000"/>
                <w:sz w:val="20"/>
                <w:szCs w:val="20"/>
              </w:rPr>
            </w:r>
            <w:r/>
          </w:p>
        </w:tc>
        <w:tc>
          <w:tcPr>
            <w:tcW w:w="439" w:type="pct"/>
            <w:vAlign w:val="center"/>
            <w:textDirection w:val="lrTb"/>
            <w:noWrap w:val="false"/>
          </w:tcPr>
          <w:p>
            <w:pPr>
              <w:pStyle w:val="982"/>
              <w:jc w:val="center"/>
              <w:rPr>
                <w:rFonts w:cs="等线"/>
                <w:b/>
                <w:bCs/>
                <w:color w:val="000000"/>
                <w:sz w:val="20"/>
                <w:szCs w:val="20"/>
              </w:rPr>
            </w:pPr>
            <w:r>
              <w:rPr>
                <w:rFonts w:hint="eastAsia" w:ascii="等线" w:hAnsi="等线" w:eastAsia="等线" w:cs="等线"/>
                <w:b/>
                <w:bCs/>
                <w:color w:val="000000"/>
                <w:sz w:val="20"/>
                <w:szCs w:val="20"/>
                <w:lang w:bidi="ar"/>
              </w:rPr>
              <w:t xml:space="preserve">是否客观分</w:t>
            </w:r>
            <w:r>
              <w:rPr>
                <w:rFonts w:cs="等线"/>
                <w:b/>
                <w:bCs/>
                <w:color w:val="000000"/>
                <w:sz w:val="20"/>
                <w:szCs w:val="20"/>
              </w:rPr>
            </w:r>
            <w:r/>
          </w:p>
        </w:tc>
      </w:tr>
      <w:tr>
        <w:trPr>
          <w:trHeight w:val="315"/>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价格分</w:t>
            </w:r>
            <w:r>
              <w:rPr>
                <w:rFonts w:ascii="宋体" w:hAnsi="宋体" w:cs="宋体"/>
                <w:b/>
                <w:bCs/>
                <w:color w:val="000000"/>
                <w:sz w:val="20"/>
                <w:szCs w:val="20"/>
              </w:rPr>
            </w:r>
            <w:r/>
          </w:p>
        </w:tc>
        <w:tc>
          <w:tcPr>
            <w:tcW w:w="2345"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无</w:t>
            </w:r>
            <w:r>
              <w:rPr>
                <w:rFonts w:ascii="宋体" w:hAnsi="宋体" w:cs="宋体"/>
                <w:b/>
                <w:bCs/>
                <w:color w:val="000000"/>
                <w:sz w:val="20"/>
                <w:szCs w:val="20"/>
              </w:rPr>
            </w:r>
            <w:r/>
          </w:p>
        </w:tc>
        <w:tc>
          <w:tcPr>
            <w:tcW w:w="368"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0</w:t>
            </w:r>
            <w:r>
              <w:rPr>
                <w:rFonts w:cs="等线"/>
                <w:b/>
                <w:bCs/>
                <w:color w:val="000000"/>
                <w:sz w:val="20"/>
                <w:szCs w:val="20"/>
              </w:rPr>
            </w:r>
            <w:r/>
          </w:p>
        </w:tc>
        <w:tc>
          <w:tcPr>
            <w:tcW w:w="394"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0</w:t>
            </w:r>
            <w:r>
              <w:rPr>
                <w:rFonts w:cs="等线"/>
                <w:b/>
                <w:bCs/>
                <w:color w:val="000000"/>
                <w:sz w:val="20"/>
                <w:szCs w:val="20"/>
              </w:rPr>
            </w:r>
            <w:r/>
          </w:p>
        </w:tc>
        <w:tc>
          <w:tcPr>
            <w:tcW w:w="423"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w:t>
            </w:r>
            <w:r>
              <w:rPr>
                <w:rFonts w:cs="等线"/>
                <w:b/>
                <w:bCs/>
                <w:color w:val="000000"/>
                <w:sz w:val="20"/>
                <w:szCs w:val="20"/>
              </w:rPr>
            </w:r>
            <w:r/>
          </w:p>
        </w:tc>
        <w:tc>
          <w:tcPr>
            <w:tcW w:w="439"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w:t>
            </w:r>
            <w:r>
              <w:rPr>
                <w:rFonts w:cs="等线"/>
                <w:b/>
                <w:bCs/>
                <w:color w:val="000000"/>
                <w:sz w:val="20"/>
                <w:szCs w:val="20"/>
              </w:rPr>
            </w:r>
            <w:r/>
          </w:p>
        </w:tc>
      </w:tr>
      <w:tr>
        <w:trPr>
          <w:trHeight w:val="660"/>
        </w:trPr>
        <w:tc>
          <w:tcPr>
            <w:tcW w:w="341"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2</w:t>
            </w:r>
            <w:r>
              <w:rPr>
                <w:rFonts w:cs="等线"/>
                <w:b/>
                <w:bCs/>
                <w:color w:val="000000"/>
                <w:sz w:val="20"/>
                <w:szCs w:val="20"/>
              </w:rPr>
            </w:r>
            <w:r/>
          </w:p>
        </w:tc>
        <w:tc>
          <w:tcPr>
            <w:tcW w:w="690" w:type="pct"/>
            <w:vAlign w:val="center"/>
            <w:textDirection w:val="lrTb"/>
            <w:noWrap w:val="false"/>
          </w:tcPr>
          <w:p>
            <w:pPr>
              <w:pStyle w:val="982"/>
              <w:jc w:val="center"/>
              <w:widowControl/>
              <w:rPr>
                <w:rFonts w:ascii="等线" w:hAnsi="等线" w:eastAsia="等线" w:cs="等线"/>
                <w:b/>
                <w:bCs/>
                <w:color w:val="000000"/>
                <w:sz w:val="20"/>
                <w:szCs w:val="20"/>
                <w:lang w:bidi="ar"/>
              </w:rPr>
            </w:pPr>
            <w:r>
              <w:rPr>
                <w:rFonts w:hint="eastAsia" w:ascii="等线" w:hAnsi="等线" w:eastAsia="等线" w:cs="等线"/>
                <w:b/>
                <w:bCs/>
                <w:color w:val="000000"/>
                <w:sz w:val="20"/>
                <w:szCs w:val="20"/>
                <w:lang w:bidi="ar"/>
              </w:rPr>
              <w:t xml:space="preserve">技术分</w:t>
            </w:r>
            <w:r>
              <w:rPr>
                <w:rFonts w:ascii="等线" w:hAnsi="等线" w:eastAsia="等线" w:cs="等线"/>
                <w:b/>
                <w:bCs/>
                <w:color w:val="000000"/>
                <w:sz w:val="20"/>
                <w:szCs w:val="20"/>
                <w:lang w:bidi="ar"/>
              </w:rPr>
            </w:r>
            <w:r/>
          </w:p>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（主观分）</w:t>
            </w:r>
            <w:r>
              <w:rPr>
                <w:rFonts w:cs="等线"/>
                <w:b/>
                <w:bCs/>
                <w:color w:val="000000"/>
                <w:sz w:val="20"/>
                <w:szCs w:val="20"/>
              </w:rPr>
            </w:r>
            <w:r/>
          </w:p>
        </w:tc>
        <w:tc>
          <w:tcPr>
            <w:tcW w:w="2345" w:type="pct"/>
            <w:vAlign w:val="center"/>
            <w:textDirection w:val="lrTb"/>
            <w:noWrap w:val="false"/>
          </w:tcPr>
          <w:p>
            <w:pPr>
              <w:pStyle w:val="982"/>
              <w:ind w:left="360"/>
              <w:rPr>
                <w:rFonts w:hint="eastAsia" w:cs="等线"/>
                <w:b/>
                <w:bCs/>
                <w:color w:val="000000"/>
                <w:sz w:val="20"/>
                <w:szCs w:val="20"/>
              </w:rPr>
            </w:pPr>
            <w:r>
              <w:rPr>
                <w:rFonts w:hint="eastAsia" w:ascii="等线" w:hAnsi="等线" w:eastAsia="等线" w:cs="等线"/>
                <w:b/>
                <w:bCs/>
                <w:color w:val="000000"/>
                <w:sz w:val="20"/>
                <w:szCs w:val="20"/>
                <w:lang w:bidi="ar"/>
              </w:rPr>
              <w:t xml:space="preserve">各供应商应按本项目整体（非各分包）情况提供2.1-2.6方案。</w:t>
            </w:r>
            <w:r>
              <w:rPr>
                <w:rFonts w:hint="eastAsia" w:cs="等线"/>
                <w:b/>
                <w:bCs/>
                <w:color w:val="000000"/>
                <w:sz w:val="20"/>
                <w:szCs w:val="20"/>
              </w:rPr>
            </w:r>
            <w:r/>
          </w:p>
        </w:tc>
        <w:tc>
          <w:tcPr>
            <w:tcW w:w="368"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0</w:t>
            </w:r>
            <w:r>
              <w:rPr>
                <w:rFonts w:cs="等线"/>
                <w:b/>
                <w:bCs/>
                <w:color w:val="000000"/>
                <w:sz w:val="20"/>
                <w:szCs w:val="20"/>
              </w:rPr>
            </w:r>
            <w:r/>
          </w:p>
        </w:tc>
        <w:tc>
          <w:tcPr>
            <w:tcW w:w="394" w:type="pct"/>
            <w:vAlign w:val="center"/>
            <w:textDirection w:val="lrTb"/>
            <w:noWrap w:val="false"/>
          </w:tcPr>
          <w:p>
            <w:pPr>
              <w:pStyle w:val="982"/>
              <w:jc w:val="center"/>
              <w:rPr>
                <w:rFonts w:hint="eastAsia" w:cs="等线"/>
                <w:b/>
                <w:bCs/>
                <w:color w:val="000000"/>
                <w:sz w:val="20"/>
                <w:szCs w:val="20"/>
              </w:rPr>
            </w:pPr>
            <w:r>
              <w:rPr>
                <w:rFonts w:hint="eastAsia" w:cs="等线"/>
                <w:b/>
                <w:bCs/>
                <w:color w:val="000000"/>
                <w:sz w:val="20"/>
                <w:szCs w:val="20"/>
              </w:rPr>
              <w:t xml:space="preserve">60</w:t>
            </w:r>
            <w:r/>
          </w:p>
        </w:tc>
        <w:tc>
          <w:tcPr>
            <w:tcW w:w="423" w:type="pct"/>
            <w:vAlign w:val="center"/>
            <w:textDirection w:val="lrTb"/>
            <w:noWrap w:val="false"/>
          </w:tcPr>
          <w:p>
            <w:pPr>
              <w:pStyle w:val="982"/>
              <w:jc w:val="center"/>
              <w:rPr>
                <w:rFonts w:hint="eastAsia" w:cs="等线"/>
                <w:b/>
                <w:bCs/>
                <w:color w:val="000000"/>
                <w:sz w:val="20"/>
                <w:szCs w:val="20"/>
              </w:rPr>
            </w:pPr>
            <w:r>
              <w:rPr>
                <w:rFonts w:hint="eastAsia" w:ascii="宋体" w:hAnsi="宋体" w:cs="宋体"/>
                <w:b/>
                <w:bCs/>
                <w:color w:val="000000"/>
                <w:sz w:val="20"/>
                <w:szCs w:val="20"/>
                <w:lang w:bidi="ar"/>
              </w:rPr>
              <w:t xml:space="preserve">否</w:t>
            </w:r>
            <w:r>
              <w:rPr>
                <w:rFonts w:hint="eastAsia" w:cs="等线"/>
                <w:b/>
                <w:bCs/>
                <w:color w:val="000000"/>
                <w:sz w:val="20"/>
                <w:szCs w:val="20"/>
              </w:rPr>
            </w:r>
            <w:r/>
          </w:p>
        </w:tc>
        <w:tc>
          <w:tcPr>
            <w:tcW w:w="439" w:type="pct"/>
            <w:vAlign w:val="center"/>
            <w:textDirection w:val="lrTb"/>
            <w:noWrap w:val="false"/>
          </w:tcPr>
          <w:p>
            <w:pPr>
              <w:pStyle w:val="982"/>
              <w:jc w:val="center"/>
              <w:rPr>
                <w:rFonts w:cs="等线"/>
                <w:b/>
                <w:bCs/>
                <w:color w:val="000000"/>
                <w:sz w:val="20"/>
                <w:szCs w:val="20"/>
              </w:rPr>
            </w:pPr>
            <w:r>
              <w:rPr>
                <w:rFonts w:hint="eastAsia" w:ascii="宋体" w:hAnsi="宋体" w:cs="宋体"/>
                <w:b/>
                <w:bCs/>
                <w:color w:val="000000"/>
                <w:sz w:val="20"/>
                <w:szCs w:val="20"/>
                <w:lang w:bidi="ar"/>
              </w:rPr>
              <w:t xml:space="preserve">否</w:t>
            </w:r>
            <w:r>
              <w:rPr>
                <w:rFonts w:cs="等线"/>
                <w:b/>
                <w:bCs/>
                <w:color w:val="000000"/>
                <w:sz w:val="20"/>
                <w:szCs w:val="20"/>
              </w:rPr>
            </w:r>
            <w:r/>
          </w:p>
        </w:tc>
      </w:tr>
      <w:tr>
        <w:trPr>
          <w:trHeight w:val="222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2.1</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总体实施</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根据医保相关政策，设计大病保险项目总体实施方案，包括工作计划、组织实施、总结评估等内容。方案设计合理性、全面性、可行性优秀得</w:t>
            </w:r>
            <w:r>
              <w:rPr>
                <w:rStyle w:val="1098"/>
                <w:lang w:bidi="ar"/>
              </w:rPr>
              <w:t xml:space="preserve">10</w:t>
            </w:r>
            <w:r>
              <w:rPr>
                <w:rStyle w:val="1099"/>
                <w:lang w:bidi="ar"/>
              </w:rPr>
              <w:t xml:space="preserve">分；方案设计合理性、全面性、可行性高得</w:t>
            </w:r>
            <w:r>
              <w:rPr>
                <w:rStyle w:val="1098"/>
                <w:lang w:bidi="ar"/>
              </w:rPr>
              <w:t xml:space="preserve">8</w:t>
            </w:r>
            <w:r>
              <w:rPr>
                <w:rStyle w:val="1099"/>
                <w:lang w:bidi="ar"/>
              </w:rPr>
              <w:t xml:space="preserve">分；方案设计合理性、全面性、可行性较高得</w:t>
            </w:r>
            <w:r>
              <w:rPr>
                <w:rStyle w:val="1098"/>
                <w:lang w:bidi="ar"/>
              </w:rPr>
              <w:t xml:space="preserve">6</w:t>
            </w:r>
            <w:r>
              <w:rPr>
                <w:rStyle w:val="1099"/>
                <w:lang w:bidi="ar"/>
              </w:rPr>
              <w:t xml:space="preserve">分；方案设计合理性、全面性、可行性一般得</w:t>
            </w:r>
            <w:r>
              <w:rPr>
                <w:rStyle w:val="1098"/>
                <w:lang w:bidi="ar"/>
              </w:rPr>
              <w:t xml:space="preserve">4</w:t>
            </w:r>
            <w:r>
              <w:rPr>
                <w:rStyle w:val="1099"/>
                <w:lang w:bidi="ar"/>
              </w:rPr>
              <w:t xml:space="preserve">分；未提供方案不得分。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156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2.2</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运营成本</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根据本项目采购需求，按照最少必须原则，提供项目运营成本方案。根据运营成本方案测算的成本率低</w:t>
            </w:r>
            <w:r>
              <w:rPr>
                <w:rFonts w:hint="eastAsia" w:ascii="等线" w:hAnsi="等线" w:eastAsia="等线" w:cs="等线"/>
                <w:b/>
                <w:bCs/>
                <w:color w:val="000000"/>
                <w:sz w:val="20"/>
                <w:szCs w:val="20"/>
                <w:lang w:bidi="ar"/>
              </w:rPr>
              <w:t xml:space="preserve">于采购需求标准的，得基准分</w:t>
            </w:r>
            <w:r>
              <w:rPr>
                <w:rStyle w:val="1098"/>
                <w:lang w:bidi="ar"/>
              </w:rPr>
              <w:t xml:space="preserve">6</w:t>
            </w:r>
            <w:r>
              <w:rPr>
                <w:rStyle w:val="1099"/>
                <w:lang w:bidi="ar"/>
              </w:rPr>
              <w:t xml:space="preserve">分，每低</w:t>
            </w:r>
            <w:r>
              <w:rPr>
                <w:rStyle w:val="1098"/>
                <w:lang w:bidi="ar"/>
              </w:rPr>
              <w:t xml:space="preserve">0.1</w:t>
            </w:r>
            <w:r>
              <w:rPr>
                <w:rStyle w:val="1099"/>
                <w:lang w:bidi="ar"/>
              </w:rPr>
              <w:t xml:space="preserve">百分点，加一分，最高加</w:t>
            </w:r>
            <w:r>
              <w:rPr>
                <w:rStyle w:val="1098"/>
                <w:lang w:bidi="ar"/>
              </w:rPr>
              <w:t xml:space="preserve">4</w:t>
            </w:r>
            <w:r>
              <w:rPr>
                <w:rStyle w:val="1099"/>
                <w:lang w:bidi="ar"/>
              </w:rPr>
              <w:t xml:space="preserve">分。高于采购需求及未提供方案不得分。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228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2.3</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稽核协查</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根据基金监管要求，设计稽核协查方案，包括、大病保险费用专项稽核、外伤费用调查追偿、异地费用核查、先行支付等</w:t>
            </w:r>
            <w:r>
              <w:rPr>
                <w:rStyle w:val="1098"/>
                <w:lang w:bidi="ar"/>
              </w:rPr>
              <w:t xml:space="preserve">4</w:t>
            </w:r>
            <w:r>
              <w:rPr>
                <w:rStyle w:val="1099"/>
                <w:lang w:bidi="ar"/>
              </w:rPr>
              <w:t xml:space="preserve">个基本要素，得</w:t>
            </w:r>
            <w:r>
              <w:rPr>
                <w:rStyle w:val="1098"/>
                <w:lang w:bidi="ar"/>
              </w:rPr>
              <w:t xml:space="preserve">6</w:t>
            </w:r>
            <w:r>
              <w:rPr>
                <w:rStyle w:val="1099"/>
                <w:lang w:bidi="ar"/>
              </w:rPr>
              <w:t xml:space="preserve">分。方案设计基本合理、具备一般可操作性的，加</w:t>
            </w:r>
            <w:r>
              <w:rPr>
                <w:rStyle w:val="1098"/>
                <w:lang w:bidi="ar"/>
              </w:rPr>
              <w:t xml:space="preserve">2</w:t>
            </w:r>
            <w:r>
              <w:rPr>
                <w:rStyle w:val="1099"/>
                <w:lang w:bidi="ar"/>
              </w:rPr>
              <w:t xml:space="preserve">分；方案设计较合理、可操作性较强的，加</w:t>
            </w:r>
            <w:r>
              <w:rPr>
                <w:rStyle w:val="1098"/>
                <w:lang w:bidi="ar"/>
              </w:rPr>
              <w:t xml:space="preserve">4</w:t>
            </w:r>
            <w:r>
              <w:rPr>
                <w:rStyle w:val="1099"/>
                <w:lang w:bidi="ar"/>
              </w:rPr>
              <w:t xml:space="preserve">分；方案设计合理、可操作性强的，加</w:t>
            </w:r>
            <w:r>
              <w:rPr>
                <w:rStyle w:val="1098"/>
                <w:lang w:bidi="ar"/>
              </w:rPr>
              <w:t xml:space="preserve">6</w:t>
            </w:r>
            <w:r>
              <w:rPr>
                <w:rStyle w:val="1099"/>
                <w:lang w:bidi="ar"/>
              </w:rPr>
              <w:t xml:space="preserve">分；方案设计每缺少</w:t>
            </w:r>
            <w:r>
              <w:rPr>
                <w:rStyle w:val="1098"/>
                <w:lang w:bidi="ar"/>
              </w:rPr>
              <w:t xml:space="preserve">1</w:t>
            </w:r>
            <w:r>
              <w:rPr>
                <w:rStyle w:val="1099"/>
                <w:lang w:bidi="ar"/>
              </w:rPr>
              <w:t xml:space="preserve">个基本要素，扣</w:t>
            </w:r>
            <w:r>
              <w:rPr>
                <w:rStyle w:val="1098"/>
                <w:lang w:bidi="ar"/>
              </w:rPr>
              <w:t xml:space="preserve">1.5</w:t>
            </w:r>
            <w:r>
              <w:rPr>
                <w:rStyle w:val="1099"/>
                <w:lang w:bidi="ar"/>
              </w:rPr>
              <w:t xml:space="preserve">分；未提供方案不得分。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240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2.4</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基金管理</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根据基金管理要求，设计基金管理方案，必须包括财务管理制度、风险预警机制、大病保险分析指标数据库、年度赔付趋势测算等</w:t>
            </w:r>
            <w:r>
              <w:rPr>
                <w:rStyle w:val="1098"/>
                <w:lang w:bidi="ar"/>
              </w:rPr>
              <w:t xml:space="preserve">4</w:t>
            </w:r>
            <w:r>
              <w:rPr>
                <w:rStyle w:val="1099"/>
                <w:lang w:bidi="ar"/>
              </w:rPr>
              <w:t xml:space="preserve">个基本要素，得</w:t>
            </w:r>
            <w:r>
              <w:rPr>
                <w:rStyle w:val="1098"/>
                <w:lang w:bidi="ar"/>
              </w:rPr>
              <w:t xml:space="preserve">6</w:t>
            </w:r>
            <w:r>
              <w:rPr>
                <w:rStyle w:val="1099"/>
                <w:lang w:bidi="ar"/>
              </w:rPr>
              <w:t xml:space="preserve">分。方案设计基本合理、具备一般可操作性的，加</w:t>
            </w:r>
            <w:r>
              <w:rPr>
                <w:rStyle w:val="1098"/>
                <w:lang w:bidi="ar"/>
              </w:rPr>
              <w:t xml:space="preserve">2</w:t>
            </w:r>
            <w:r>
              <w:rPr>
                <w:rStyle w:val="1099"/>
                <w:lang w:bidi="ar"/>
              </w:rPr>
              <w:t xml:space="preserve">分；方案设计较合理、可操作性较强的，加</w:t>
            </w:r>
            <w:r>
              <w:rPr>
                <w:rStyle w:val="1098"/>
                <w:lang w:bidi="ar"/>
              </w:rPr>
              <w:t xml:space="preserve">4</w:t>
            </w:r>
            <w:r>
              <w:rPr>
                <w:rStyle w:val="1099"/>
                <w:lang w:bidi="ar"/>
              </w:rPr>
              <w:t xml:space="preserve">分；方案设计合理、可操作性强的，加</w:t>
            </w:r>
            <w:r>
              <w:rPr>
                <w:rStyle w:val="1098"/>
                <w:lang w:bidi="ar"/>
              </w:rPr>
              <w:t xml:space="preserve">6</w:t>
            </w:r>
            <w:r>
              <w:rPr>
                <w:rStyle w:val="1099"/>
                <w:lang w:bidi="ar"/>
              </w:rPr>
              <w:t xml:space="preserve">分；方案设计每缺少</w:t>
            </w:r>
            <w:r>
              <w:rPr>
                <w:rStyle w:val="1098"/>
                <w:lang w:bidi="ar"/>
              </w:rPr>
              <w:t xml:space="preserve">1</w:t>
            </w:r>
            <w:r>
              <w:rPr>
                <w:rStyle w:val="1099"/>
                <w:lang w:bidi="ar"/>
              </w:rPr>
              <w:t xml:space="preserve">个基本要素，扣</w:t>
            </w:r>
            <w:r>
              <w:rPr>
                <w:rStyle w:val="1098"/>
                <w:lang w:bidi="ar"/>
              </w:rPr>
              <w:t xml:space="preserve">1.5</w:t>
            </w:r>
            <w:r>
              <w:rPr>
                <w:rStyle w:val="1099"/>
                <w:lang w:bidi="ar"/>
              </w:rPr>
              <w:t xml:space="preserve">分；未提供方案不得分。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238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2.5</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团队管理</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根据团队管理要求，有明确团队管理方案，包括人员招聘、组织架构、岗位管理、绩效考核方案、薪酬制度、团队工作规范、能力提升、晋升规则等</w:t>
            </w:r>
            <w:r>
              <w:rPr>
                <w:rStyle w:val="1098"/>
                <w:lang w:bidi="ar"/>
              </w:rPr>
              <w:t xml:space="preserve">8</w:t>
            </w:r>
            <w:r>
              <w:rPr>
                <w:rStyle w:val="1099"/>
                <w:lang w:bidi="ar"/>
              </w:rPr>
              <w:t xml:space="preserve">个基本要素，得</w:t>
            </w:r>
            <w:r>
              <w:rPr>
                <w:rStyle w:val="1098"/>
                <w:lang w:bidi="ar"/>
              </w:rPr>
              <w:t xml:space="preserve">4</w:t>
            </w:r>
            <w:r>
              <w:rPr>
                <w:rStyle w:val="1099"/>
                <w:lang w:bidi="ar"/>
              </w:rPr>
              <w:t xml:space="preserve">分。方案设计基本合理、具备一般</w:t>
            </w:r>
            <w:r>
              <w:rPr>
                <w:rStyle w:val="1099"/>
                <w:lang w:bidi="ar"/>
              </w:rPr>
              <w:t xml:space="preserve">可操作性的，加</w:t>
            </w:r>
            <w:r>
              <w:rPr>
                <w:rStyle w:val="1098"/>
                <w:lang w:bidi="ar"/>
              </w:rPr>
              <w:t xml:space="preserve">2</w:t>
            </w:r>
            <w:r>
              <w:rPr>
                <w:rStyle w:val="1099"/>
                <w:lang w:bidi="ar"/>
              </w:rPr>
              <w:t xml:space="preserve">分；方案设计较合理、可操作性较强的，加</w:t>
            </w:r>
            <w:r>
              <w:rPr>
                <w:rStyle w:val="1098"/>
                <w:lang w:bidi="ar"/>
              </w:rPr>
              <w:t xml:space="preserve">4</w:t>
            </w:r>
            <w:r>
              <w:rPr>
                <w:rStyle w:val="1099"/>
                <w:lang w:bidi="ar"/>
              </w:rPr>
              <w:t xml:space="preserve">分；方案设计合理、可操作性强的，加</w:t>
            </w:r>
            <w:r>
              <w:rPr>
                <w:rStyle w:val="1098"/>
                <w:lang w:bidi="ar"/>
              </w:rPr>
              <w:t xml:space="preserve">6</w:t>
            </w:r>
            <w:r>
              <w:rPr>
                <w:rStyle w:val="1099"/>
                <w:lang w:bidi="ar"/>
              </w:rPr>
              <w:t xml:space="preserve">分；方案设计每缺少</w:t>
            </w:r>
            <w:r>
              <w:rPr>
                <w:rStyle w:val="1098"/>
                <w:lang w:bidi="ar"/>
              </w:rPr>
              <w:t xml:space="preserve">1</w:t>
            </w:r>
            <w:r>
              <w:rPr>
                <w:rStyle w:val="1099"/>
                <w:lang w:bidi="ar"/>
              </w:rPr>
              <w:t xml:space="preserve">个基本要素，扣</w:t>
            </w:r>
            <w:r>
              <w:rPr>
                <w:rStyle w:val="1098"/>
                <w:lang w:bidi="ar"/>
              </w:rPr>
              <w:t xml:space="preserve">1</w:t>
            </w:r>
            <w:r>
              <w:rPr>
                <w:rStyle w:val="1099"/>
                <w:lang w:bidi="ar"/>
              </w:rPr>
              <w:t xml:space="preserve">分，包含要素低于</w:t>
            </w:r>
            <w:r>
              <w:rPr>
                <w:rStyle w:val="1098"/>
                <w:lang w:bidi="ar"/>
              </w:rPr>
              <w:t xml:space="preserve">4</w:t>
            </w:r>
            <w:r>
              <w:rPr>
                <w:rStyle w:val="1099"/>
                <w:lang w:bidi="ar"/>
              </w:rPr>
              <w:t xml:space="preserve">个或未提供方案不得分。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214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2.6</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宣传培训</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根据宣传培训要求，设计宣传培训方案，包括宣传培训计划、宣传培训内容、宣传培训方法等内容。方案设计合理、可操作性强的，得</w:t>
            </w:r>
            <w:r>
              <w:rPr>
                <w:rStyle w:val="1098"/>
                <w:lang w:bidi="ar"/>
              </w:rPr>
              <w:t xml:space="preserve">6</w:t>
            </w:r>
            <w:r>
              <w:rPr>
                <w:rStyle w:val="1099"/>
                <w:lang w:bidi="ar"/>
              </w:rPr>
              <w:t xml:space="preserve">分；方案设计较合理、可操作性较强的，得</w:t>
            </w:r>
            <w:r>
              <w:rPr>
                <w:rStyle w:val="1098"/>
                <w:lang w:bidi="ar"/>
              </w:rPr>
              <w:t xml:space="preserve">4</w:t>
            </w:r>
            <w:r>
              <w:rPr>
                <w:rStyle w:val="1099"/>
                <w:lang w:bidi="ar"/>
              </w:rPr>
              <w:t xml:space="preserve">分；方案设计基本合理、具备一般可操作性的，得</w:t>
            </w:r>
            <w:r>
              <w:rPr>
                <w:rStyle w:val="1098"/>
                <w:lang w:bidi="ar"/>
              </w:rPr>
              <w:t xml:space="preserve">2</w:t>
            </w:r>
            <w:r>
              <w:rPr>
                <w:rStyle w:val="1099"/>
                <w:lang w:bidi="ar"/>
              </w:rPr>
              <w:t xml:space="preserve">分；未提供方案不得分。</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r>
      <w:tr>
        <w:trPr>
          <w:trHeight w:val="900"/>
        </w:trPr>
        <w:tc>
          <w:tcPr>
            <w:tcW w:w="341"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3</w:t>
            </w:r>
            <w:r>
              <w:rPr>
                <w:rFonts w:cs="等线"/>
                <w:b/>
                <w:bCs/>
                <w:color w:val="000000"/>
                <w:sz w:val="20"/>
                <w:szCs w:val="20"/>
              </w:rPr>
            </w:r>
            <w:r/>
          </w:p>
        </w:tc>
        <w:tc>
          <w:tcPr>
            <w:tcW w:w="690" w:type="pct"/>
            <w:vAlign w:val="center"/>
            <w:textDirection w:val="lrTb"/>
            <w:noWrap w:val="false"/>
          </w:tcPr>
          <w:p>
            <w:pPr>
              <w:pStyle w:val="982"/>
              <w:jc w:val="center"/>
              <w:widowControl/>
              <w:rPr>
                <w:rFonts w:cs="等线"/>
                <w:b/>
                <w:bCs/>
                <w:color w:val="000000"/>
                <w:sz w:val="20"/>
                <w:szCs w:val="20"/>
              </w:rPr>
            </w:pPr>
            <w:r>
              <w:rPr>
                <w:rFonts w:hint="eastAsia" w:ascii="等线" w:hAnsi="等线" w:eastAsia="等线" w:cs="等线"/>
                <w:b/>
                <w:bCs/>
                <w:color w:val="000000"/>
                <w:sz w:val="20"/>
                <w:szCs w:val="20"/>
                <w:lang w:bidi="ar"/>
              </w:rPr>
              <w:t xml:space="preserve">商务</w:t>
              <w:br w:type="textWrapping" w:clear="all"/>
              <w:t xml:space="preserve">（客观分）</w:t>
            </w:r>
            <w:r>
              <w:rPr>
                <w:rFonts w:cs="等线"/>
                <w:b/>
                <w:bCs/>
                <w:color w:val="000000"/>
                <w:sz w:val="20"/>
                <w:szCs w:val="20"/>
              </w:rPr>
            </w:r>
            <w:r/>
          </w:p>
        </w:tc>
        <w:tc>
          <w:tcPr>
            <w:tcW w:w="2345" w:type="pct"/>
            <w:vAlign w:val="center"/>
            <w:textDirection w:val="lrTb"/>
            <w:noWrap w:val="false"/>
          </w:tcPr>
          <w:p>
            <w:pPr>
              <w:pStyle w:val="982"/>
              <w:jc w:val="center"/>
              <w:rPr>
                <w:rFonts w:cs="等线"/>
                <w:b/>
                <w:bCs/>
                <w:color w:val="000000"/>
                <w:sz w:val="20"/>
                <w:szCs w:val="20"/>
              </w:rPr>
            </w:pPr>
            <w:r>
              <w:rPr>
                <w:rFonts w:cs="等线"/>
                <w:b/>
                <w:bCs/>
                <w:color w:val="000000"/>
                <w:sz w:val="20"/>
                <w:szCs w:val="20"/>
              </w:rPr>
            </w:r>
            <w:r/>
          </w:p>
        </w:tc>
        <w:tc>
          <w:tcPr>
            <w:tcW w:w="368" w:type="pct"/>
            <w:vAlign w:val="center"/>
            <w:textDirection w:val="lrTb"/>
            <w:noWrap w:val="false"/>
          </w:tcPr>
          <w:p>
            <w:pPr>
              <w:pStyle w:val="982"/>
              <w:jc w:val="center"/>
              <w:rPr>
                <w:rFonts w:cs="等线"/>
                <w:b/>
                <w:bCs/>
                <w:color w:val="000000"/>
                <w:sz w:val="20"/>
                <w:szCs w:val="20"/>
              </w:rPr>
            </w:pPr>
            <w:r>
              <w:rPr>
                <w:rFonts w:hint="eastAsia" w:cs="等线"/>
                <w:b/>
                <w:bCs/>
                <w:color w:val="000000"/>
                <w:sz w:val="20"/>
                <w:szCs w:val="20"/>
              </w:rPr>
              <w:t xml:space="preserve">0</w:t>
            </w:r>
            <w:r>
              <w:rPr>
                <w:rFonts w:cs="等线"/>
                <w:b/>
                <w:bCs/>
                <w:color w:val="000000"/>
                <w:sz w:val="20"/>
                <w:szCs w:val="20"/>
              </w:rPr>
            </w:r>
            <w:r/>
          </w:p>
        </w:tc>
        <w:tc>
          <w:tcPr>
            <w:tcW w:w="394" w:type="pct"/>
            <w:vAlign w:val="center"/>
            <w:textDirection w:val="lrTb"/>
            <w:noWrap w:val="false"/>
          </w:tcPr>
          <w:p>
            <w:pPr>
              <w:pStyle w:val="982"/>
              <w:jc w:val="center"/>
              <w:rPr>
                <w:rFonts w:hint="eastAsia" w:cs="等线"/>
                <w:b/>
                <w:bCs/>
                <w:color w:val="000000"/>
                <w:sz w:val="20"/>
                <w:szCs w:val="20"/>
              </w:rPr>
            </w:pPr>
            <w:r>
              <w:rPr>
                <w:rFonts w:hint="eastAsia" w:cs="等线"/>
                <w:b/>
                <w:bCs/>
                <w:color w:val="000000"/>
                <w:sz w:val="20"/>
                <w:szCs w:val="20"/>
              </w:rPr>
              <w:t xml:space="preserve">40</w:t>
            </w:r>
            <w:r/>
          </w:p>
        </w:tc>
        <w:tc>
          <w:tcPr>
            <w:tcW w:w="423" w:type="pct"/>
            <w:vAlign w:val="center"/>
            <w:textDirection w:val="lrTb"/>
            <w:noWrap w:val="false"/>
          </w:tcPr>
          <w:p>
            <w:pPr>
              <w:pStyle w:val="982"/>
              <w:jc w:val="center"/>
              <w:rPr>
                <w:rFonts w:cs="等线"/>
                <w:b/>
                <w:bCs/>
                <w:color w:val="000000"/>
                <w:sz w:val="20"/>
                <w:szCs w:val="20"/>
              </w:rPr>
            </w:pPr>
            <w:r>
              <w:rPr>
                <w:rFonts w:hint="eastAsia" w:ascii="宋体" w:hAnsi="宋体" w:cs="宋体"/>
                <w:b/>
                <w:bCs/>
                <w:color w:val="000000"/>
                <w:sz w:val="20"/>
                <w:szCs w:val="20"/>
                <w:lang w:bidi="ar"/>
              </w:rPr>
              <w:t xml:space="preserve">否</w:t>
            </w:r>
            <w:r>
              <w:rPr>
                <w:rFonts w:cs="等线"/>
                <w:b/>
                <w:bCs/>
                <w:color w:val="000000"/>
                <w:sz w:val="20"/>
                <w:szCs w:val="20"/>
              </w:rPr>
            </w:r>
            <w:r/>
          </w:p>
        </w:tc>
        <w:tc>
          <w:tcPr>
            <w:tcW w:w="439" w:type="pct"/>
            <w:vAlign w:val="center"/>
            <w:textDirection w:val="lrTb"/>
            <w:noWrap w:val="false"/>
          </w:tcPr>
          <w:p>
            <w:pPr>
              <w:pStyle w:val="982"/>
              <w:jc w:val="center"/>
              <w:rPr>
                <w:rFonts w:cs="等线"/>
                <w:b/>
                <w:bCs/>
                <w:color w:val="000000"/>
                <w:sz w:val="20"/>
                <w:szCs w:val="20"/>
              </w:rPr>
            </w:pPr>
            <w:r>
              <w:rPr>
                <w:rFonts w:hint="eastAsia" w:ascii="宋体" w:hAnsi="宋体" w:cs="宋体"/>
                <w:b/>
                <w:bCs/>
                <w:color w:val="000000"/>
                <w:sz w:val="20"/>
                <w:szCs w:val="20"/>
                <w:lang w:bidi="ar"/>
              </w:rPr>
              <w:t xml:space="preserve">是</w:t>
            </w:r>
            <w:r>
              <w:rPr>
                <w:rFonts w:cs="等线"/>
                <w:b/>
                <w:bCs/>
                <w:color w:val="000000"/>
                <w:sz w:val="20"/>
                <w:szCs w:val="20"/>
              </w:rPr>
            </w:r>
            <w:r/>
          </w:p>
        </w:tc>
      </w:tr>
      <w:tr>
        <w:trPr>
          <w:trHeight w:val="2055"/>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3.1</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大病保险承办经验</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投标人或投标人所属省公司，及其下属分支机构</w:t>
            </w:r>
            <w:r>
              <w:rPr>
                <w:rStyle w:val="1098"/>
                <w:lang w:bidi="ar"/>
              </w:rPr>
              <w:t xml:space="preserve">2024</w:t>
            </w:r>
            <w:r>
              <w:rPr>
                <w:rStyle w:val="1099"/>
                <w:lang w:bidi="ar"/>
              </w:rPr>
              <w:t xml:space="preserve">年</w:t>
            </w:r>
            <w:r>
              <w:rPr>
                <w:rStyle w:val="1098"/>
                <w:lang w:bidi="ar"/>
              </w:rPr>
              <w:t xml:space="preserve">1</w:t>
            </w:r>
            <w:r>
              <w:rPr>
                <w:rStyle w:val="1099"/>
                <w:lang w:bidi="ar"/>
              </w:rPr>
              <w:t xml:space="preserve">月</w:t>
            </w:r>
            <w:r>
              <w:rPr>
                <w:rStyle w:val="1098"/>
                <w:lang w:bidi="ar"/>
              </w:rPr>
              <w:t xml:space="preserve">1</w:t>
            </w:r>
            <w:r>
              <w:rPr>
                <w:rStyle w:val="1099"/>
                <w:lang w:bidi="ar"/>
              </w:rPr>
              <w:t xml:space="preserve">日以来</w:t>
            </w:r>
            <w:r>
              <w:rPr>
                <w:rStyle w:val="1099"/>
                <w:lang w:bidi="ar"/>
              </w:rPr>
              <w:t xml:space="preserve">参加大病保险项目进行评分。独家承办或联合承办主承的，每个得2分；联合承办非主承的，每个得1分。（提供合作协议扫描件。注：根据项目合同进行计分，同一地区同一项目合同仅计算一次。）</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是</w:t>
            </w:r>
            <w:r>
              <w:rPr>
                <w:rFonts w:ascii="宋体" w:hAnsi="宋体" w:cs="宋体"/>
                <w:b/>
                <w:bCs/>
                <w:color w:val="000000"/>
                <w:sz w:val="20"/>
                <w:szCs w:val="20"/>
              </w:rPr>
            </w:r>
            <w:r/>
          </w:p>
        </w:tc>
      </w:tr>
      <w:tr>
        <w:trPr>
          <w:trHeight w:val="288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3.2</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与政府合作相关</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投标人或投标人所属省公司，及其下属分支机构2024年1月1日以来参加除大病保险外的医保服务类重大保险项目（包含经政府指导的与基本医疗保险相衔接的商业保险产品）进行评分。独家承办或联合承办主承的，每个得1分；联合承办</w:t>
            </w:r>
            <w:r>
              <w:rPr>
                <w:rFonts w:hint="eastAsia" w:ascii="等线" w:hAnsi="等线" w:eastAsia="等线" w:cs="等线"/>
                <w:b/>
                <w:bCs/>
                <w:color w:val="000000"/>
                <w:sz w:val="20"/>
                <w:szCs w:val="20"/>
                <w:lang w:bidi="ar"/>
              </w:rPr>
              <w:t xml:space="preserve">非主承的，每个得0.5分（提供合作协议扫描件。注：根据项目合同进行计分，同一地区同一项目合同仅计算一次。）</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是</w:t>
            </w:r>
            <w:r>
              <w:rPr>
                <w:rFonts w:ascii="宋体" w:hAnsi="宋体" w:cs="宋体"/>
                <w:b/>
                <w:bCs/>
                <w:color w:val="000000"/>
                <w:sz w:val="20"/>
                <w:szCs w:val="20"/>
              </w:rPr>
            </w:r>
            <w:r/>
          </w:p>
        </w:tc>
      </w:tr>
      <w:tr>
        <w:trPr>
          <w:trHeight w:val="129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3.3</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服务部门设置</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投标人已设立针对本项目承办服务的管理部门及配套的组织架构体系的，得 </w:t>
            </w:r>
            <w:r>
              <w:rPr>
                <w:rStyle w:val="1098"/>
                <w:lang w:bidi="ar"/>
              </w:rPr>
              <w:t xml:space="preserve">2</w:t>
            </w:r>
            <w:r>
              <w:rPr>
                <w:rStyle w:val="1099"/>
                <w:lang w:bidi="ar"/>
              </w:rPr>
              <w:t xml:space="preserve">分；没有不得分。（提供管理部门及配套的组织架构体系的相关材料）</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是</w:t>
            </w:r>
            <w:r>
              <w:rPr>
                <w:rFonts w:ascii="宋体" w:hAnsi="宋体" w:cs="宋体"/>
                <w:b/>
                <w:bCs/>
                <w:color w:val="000000"/>
                <w:sz w:val="20"/>
                <w:szCs w:val="20"/>
              </w:rPr>
            </w:r>
            <w:r/>
          </w:p>
        </w:tc>
      </w:tr>
      <w:tr>
        <w:trPr>
          <w:trHeight w:val="1290"/>
        </w:trPr>
        <w:tc>
          <w:tcPr>
            <w:tcW w:w="341"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3.4</w:t>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团队成员资质评价</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Fonts w:hint="eastAsia" w:ascii="等线" w:hAnsi="等线" w:eastAsia="等线" w:cs="等线"/>
                <w:b/>
                <w:bCs/>
                <w:color w:val="000000"/>
                <w:sz w:val="20"/>
                <w:szCs w:val="20"/>
                <w:lang w:bidi="ar"/>
              </w:rPr>
              <w:t xml:space="preserve">拟负责本项目管理的项目负责人（人员为投标人正式职工）资质评价，具有</w:t>
            </w:r>
            <w:r>
              <w:rPr>
                <w:rStyle w:val="1098"/>
                <w:lang w:bidi="ar"/>
              </w:rPr>
              <w:t xml:space="preserve">5</w:t>
            </w:r>
            <w:r>
              <w:rPr>
                <w:rStyle w:val="1099"/>
                <w:lang w:bidi="ar"/>
              </w:rPr>
              <w:t xml:space="preserve">年以上保险从业经验，大学本科学历的，得1分；具有研究生以上学历的，或具有工商管理、金融、保险、人力资源管理等专业中级以上职称，有</w:t>
            </w:r>
            <w:r>
              <w:rPr>
                <w:rStyle w:val="1098"/>
                <w:lang w:bidi="ar"/>
              </w:rPr>
              <w:t xml:space="preserve">1</w:t>
            </w:r>
            <w:r>
              <w:rPr>
                <w:rStyle w:val="1099"/>
                <w:lang w:bidi="ar"/>
              </w:rPr>
              <w:t xml:space="preserve">个得</w:t>
            </w:r>
            <w:r>
              <w:rPr>
                <w:rStyle w:val="1098"/>
                <w:lang w:bidi="ar"/>
              </w:rPr>
              <w:t xml:space="preserve">1</w:t>
            </w:r>
            <w:r>
              <w:rPr>
                <w:rStyle w:val="1099"/>
                <w:lang w:bidi="ar"/>
              </w:rPr>
              <w:t xml:space="preserve">分，最高得</w:t>
            </w:r>
            <w:r>
              <w:rPr>
                <w:rStyle w:val="1098"/>
                <w:lang w:bidi="ar"/>
              </w:rPr>
              <w:t xml:space="preserve">1</w:t>
            </w:r>
            <w:r>
              <w:rPr>
                <w:rStyle w:val="1099"/>
                <w:lang w:bidi="ar"/>
              </w:rPr>
              <w:t xml:space="preserve">分。（提供项目负责人投标前12个月社保缴费证明；提供5年以上保险从业工作经历证明材料；提供大学本科学历证书原件扫描件；研究生以上学历的，提供相应学历证书原件扫描件；提供国家相关部门颁发的工商管理、金融、保险、人力资源管理等专业中级以上职称证书原件扫描件。）</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1290"/>
        </w:trPr>
        <w:tc>
          <w:tcPr>
            <w:tcW w:w="341"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3.5</w:t>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服务营业网点</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Fonts w:hint="eastAsia" w:ascii="等线" w:hAnsi="等线" w:eastAsia="等线" w:cs="等线"/>
                <w:b/>
                <w:bCs/>
                <w:color w:val="000000"/>
                <w:sz w:val="20"/>
                <w:szCs w:val="20"/>
                <w:lang w:bidi="ar"/>
              </w:rPr>
              <w:t xml:space="preserve">投标人在承保区域内（市本级、武进、溧阳、金坛）有县区级及以上服务网点，每有一个得</w:t>
            </w:r>
            <w:r>
              <w:rPr>
                <w:rStyle w:val="1098"/>
                <w:lang w:bidi="ar"/>
              </w:rPr>
              <w:t xml:space="preserve">1.5</w:t>
            </w:r>
            <w:r>
              <w:rPr>
                <w:rStyle w:val="1099"/>
                <w:lang w:bidi="ar"/>
              </w:rPr>
              <w:t xml:space="preserve">分。在同一承保区域内存在多个服务网点的，最高得</w:t>
            </w:r>
            <w:r>
              <w:rPr>
                <w:rStyle w:val="1098"/>
                <w:lang w:bidi="ar"/>
              </w:rPr>
              <w:t xml:space="preserve">1.5</w:t>
            </w:r>
            <w:r>
              <w:rPr>
                <w:rStyle w:val="1099"/>
                <w:lang w:bidi="ar"/>
              </w:rPr>
              <w:t xml:space="preserve">分。（提供服务网点的保险许可证扫描件。）</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6</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1290"/>
        </w:trPr>
        <w:tc>
          <w:tcPr>
            <w:tcW w:w="341"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3.6</w:t>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服务配置承诺</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Fonts w:hint="eastAsia" w:ascii="等线" w:hAnsi="等线" w:eastAsia="等线" w:cs="等线"/>
                <w:b/>
                <w:bCs/>
                <w:color w:val="000000"/>
                <w:sz w:val="20"/>
                <w:szCs w:val="20"/>
                <w:lang w:bidi="ar"/>
              </w:rPr>
              <w:t xml:space="preserve">承诺为本项目配备用车标准不少于市本级</w:t>
            </w:r>
            <w:r>
              <w:rPr>
                <w:rStyle w:val="1098"/>
                <w:lang w:bidi="ar"/>
              </w:rPr>
              <w:t xml:space="preserve">5</w:t>
            </w:r>
            <w:r>
              <w:rPr>
                <w:rStyle w:val="1099"/>
                <w:lang w:bidi="ar"/>
              </w:rPr>
              <w:t xml:space="preserve">辆、武进区</w:t>
            </w:r>
            <w:r>
              <w:rPr>
                <w:rStyle w:val="1098"/>
                <w:lang w:bidi="ar"/>
              </w:rPr>
              <w:t xml:space="preserve">3</w:t>
            </w:r>
            <w:r>
              <w:rPr>
                <w:rStyle w:val="1099"/>
                <w:lang w:bidi="ar"/>
              </w:rPr>
              <w:t xml:space="preserve">辆、溧阳市</w:t>
            </w:r>
            <w:r>
              <w:rPr>
                <w:rStyle w:val="1098"/>
                <w:lang w:bidi="ar"/>
              </w:rPr>
              <w:t xml:space="preserve">2</w:t>
            </w:r>
            <w:r>
              <w:rPr>
                <w:rStyle w:val="1099"/>
                <w:lang w:bidi="ar"/>
              </w:rPr>
              <w:t xml:space="preserve">辆、金坛区</w:t>
            </w:r>
            <w:r>
              <w:rPr>
                <w:rStyle w:val="1098"/>
                <w:lang w:bidi="ar"/>
              </w:rPr>
              <w:t xml:space="preserve">2</w:t>
            </w:r>
            <w:r>
              <w:rPr>
                <w:rStyle w:val="1099"/>
                <w:lang w:bidi="ar"/>
              </w:rPr>
              <w:t xml:space="preserve">辆，其中配备商务用车标准不少于市本级</w:t>
            </w:r>
            <w:r>
              <w:rPr>
                <w:rStyle w:val="1098"/>
                <w:lang w:bidi="ar"/>
              </w:rPr>
              <w:t xml:space="preserve">2</w:t>
            </w:r>
            <w:r>
              <w:rPr>
                <w:rStyle w:val="1099"/>
                <w:lang w:bidi="ar"/>
              </w:rPr>
              <w:t xml:space="preserve">辆、武进区</w:t>
            </w:r>
            <w:r>
              <w:rPr>
                <w:rStyle w:val="1098"/>
                <w:lang w:bidi="ar"/>
              </w:rPr>
              <w:t xml:space="preserve">1</w:t>
            </w:r>
            <w:r>
              <w:rPr>
                <w:rStyle w:val="1099"/>
                <w:lang w:bidi="ar"/>
              </w:rPr>
              <w:t xml:space="preserve">辆、溧阳市</w:t>
            </w:r>
            <w:r>
              <w:rPr>
                <w:rStyle w:val="1098"/>
                <w:lang w:bidi="ar"/>
              </w:rPr>
              <w:t xml:space="preserve">1</w:t>
            </w:r>
            <w:r>
              <w:rPr>
                <w:rStyle w:val="1099"/>
                <w:lang w:bidi="ar"/>
              </w:rPr>
              <w:t xml:space="preserve">辆、金坛区</w:t>
            </w:r>
            <w:r>
              <w:rPr>
                <w:rStyle w:val="1098"/>
                <w:lang w:bidi="ar"/>
              </w:rPr>
              <w:t xml:space="preserve">1</w:t>
            </w:r>
            <w:r>
              <w:rPr>
                <w:rStyle w:val="1099"/>
                <w:lang w:bidi="ar"/>
              </w:rPr>
              <w:t xml:space="preserve">辆，满足要求得</w:t>
            </w:r>
            <w:r>
              <w:rPr>
                <w:rStyle w:val="1098"/>
                <w:lang w:bidi="ar"/>
              </w:rPr>
              <w:t xml:space="preserve">1</w:t>
            </w:r>
            <w:r>
              <w:rPr>
                <w:rStyle w:val="1099"/>
                <w:lang w:bidi="ar"/>
              </w:rPr>
              <w:t xml:space="preserve">分；承诺配备的计算机、高拍仪、电子凭证扫码盒子、智能平板、打印机、复印机和传真机等办公设备均满足要求得</w:t>
            </w:r>
            <w:r>
              <w:rPr>
                <w:rStyle w:val="1098"/>
                <w:lang w:bidi="ar"/>
              </w:rPr>
              <w:t xml:space="preserve">1</w:t>
            </w:r>
            <w:r>
              <w:rPr>
                <w:rStyle w:val="1099"/>
                <w:lang w:bidi="ar"/>
              </w:rPr>
              <w:t xml:space="preserve">分。（提供承诺函。注：承诺函格式自拟，承诺内容作为本招标项目实施依据写入签约合同。）</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2920"/>
        </w:trPr>
        <w:tc>
          <w:tcPr>
            <w:tcW w:w="341"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3.7</w:t>
            </w:r>
            <w:r>
              <w:rPr>
                <w:rFonts w:ascii="宋体" w:hAnsi="宋体" w:cs="宋体"/>
                <w:b/>
                <w:bCs/>
                <w:color w:val="000000"/>
                <w:sz w:val="20"/>
                <w:szCs w:val="20"/>
              </w:rPr>
            </w:r>
            <w:r/>
          </w:p>
        </w:tc>
        <w:tc>
          <w:tcPr>
            <w:tcW w:w="690"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人员配备数量承诺</w:t>
            </w:r>
            <w:r>
              <w:rPr>
                <w:rFonts w:ascii="宋体" w:hAnsi="宋体" w:cs="宋体"/>
                <w:b/>
                <w:bCs/>
                <w:color w:val="000000"/>
                <w:sz w:val="20"/>
                <w:szCs w:val="20"/>
              </w:rPr>
            </w:r>
            <w:r/>
          </w:p>
        </w:tc>
        <w:tc>
          <w:tcPr>
            <w:tcW w:w="2345" w:type="pct"/>
            <w:vAlign w:val="center"/>
            <w:textDirection w:val="lrTb"/>
            <w:noWrap w:val="false"/>
          </w:tcPr>
          <w:p>
            <w:pPr>
              <w:pStyle w:val="982"/>
              <w:jc w:val="left"/>
              <w:widowControl/>
              <w:rPr>
                <w:rFonts w:cs="等线"/>
                <w:b/>
                <w:bCs/>
                <w:color w:val="000000"/>
                <w:sz w:val="20"/>
                <w:szCs w:val="20"/>
              </w:rPr>
            </w:pPr>
            <w:r>
              <w:rPr>
                <w:rFonts w:hint="eastAsia" w:ascii="等线" w:hAnsi="等线" w:eastAsia="等线" w:cs="等线"/>
                <w:b/>
                <w:bCs/>
                <w:color w:val="000000"/>
                <w:sz w:val="20"/>
                <w:szCs w:val="20"/>
                <w:lang w:bidi="ar"/>
              </w:rPr>
              <w:t xml:space="preserve">承诺大病保险工作人员数量按照参保人数不低于</w:t>
            </w:r>
            <w:r>
              <w:rPr>
                <w:rStyle w:val="1098"/>
                <w:lang w:bidi="ar"/>
              </w:rPr>
              <w:t xml:space="preserve">1</w:t>
            </w:r>
            <w:r>
              <w:rPr>
                <w:rStyle w:val="1099"/>
                <w:lang w:bidi="ar"/>
              </w:rPr>
              <w:t xml:space="preserve">：</w:t>
            </w:r>
            <w:r>
              <w:rPr>
                <w:rStyle w:val="1098"/>
                <w:lang w:bidi="ar"/>
              </w:rPr>
              <w:t xml:space="preserve">3</w:t>
            </w:r>
            <w:r>
              <w:rPr>
                <w:rStyle w:val="1099"/>
                <w:lang w:bidi="ar"/>
              </w:rPr>
              <w:t xml:space="preserve">万的比例配备专业的经办服务队伍，满足要求得</w:t>
            </w:r>
            <w:r>
              <w:rPr>
                <w:rStyle w:val="1098"/>
                <w:lang w:bidi="ar"/>
              </w:rPr>
              <w:t xml:space="preserve">1</w:t>
            </w:r>
            <w:r>
              <w:rPr>
                <w:rStyle w:val="1099"/>
                <w:lang w:bidi="ar"/>
              </w:rPr>
              <w:t xml:space="preserve">分；在原有人员基础上，承诺配备比例不低于</w:t>
            </w:r>
            <w:r>
              <w:rPr>
                <w:rStyle w:val="1098"/>
                <w:lang w:bidi="ar"/>
              </w:rPr>
              <w:t xml:space="preserve">1:2.5</w:t>
            </w:r>
            <w:r>
              <w:rPr>
                <w:rStyle w:val="1099"/>
                <w:lang w:bidi="ar"/>
              </w:rPr>
              <w:t xml:space="preserve">万，加</w:t>
            </w:r>
            <w:r>
              <w:rPr>
                <w:rStyle w:val="1098"/>
                <w:lang w:bidi="ar"/>
              </w:rPr>
              <w:t xml:space="preserve">3</w:t>
            </w:r>
            <w:r>
              <w:rPr>
                <w:rStyle w:val="1099"/>
                <w:lang w:bidi="ar"/>
              </w:rPr>
              <w:t xml:space="preserve">分；承诺配备比例不低于</w:t>
            </w:r>
            <w:r>
              <w:rPr>
                <w:rStyle w:val="1098"/>
                <w:lang w:bidi="ar"/>
              </w:rPr>
              <w:t xml:space="preserve">1:2</w:t>
            </w:r>
            <w:r>
              <w:rPr>
                <w:rStyle w:val="1099"/>
                <w:lang w:bidi="ar"/>
              </w:rPr>
              <w:t xml:space="preserve">万，加</w:t>
            </w:r>
            <w:r>
              <w:rPr>
                <w:rStyle w:val="1098"/>
                <w:lang w:bidi="ar"/>
              </w:rPr>
              <w:t xml:space="preserve">6</w:t>
            </w:r>
            <w:r>
              <w:rPr>
                <w:rStyle w:val="1099"/>
                <w:lang w:bidi="ar"/>
              </w:rPr>
              <w:t xml:space="preserve">分。（提供承诺函。注：承诺函格式自拟，承诺内容作为本招标项目实施依据写入签约合同。）</w:t>
            </w:r>
            <w:r>
              <w:rPr>
                <w:rFonts w:cs="等线"/>
                <w:b/>
                <w:bCs/>
                <w:color w:val="000000"/>
                <w:sz w:val="20"/>
                <w:szCs w:val="20"/>
              </w:rPr>
            </w:r>
            <w:r/>
          </w:p>
        </w:tc>
        <w:tc>
          <w:tcPr>
            <w:tcW w:w="368"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0</w:t>
            </w:r>
            <w:r>
              <w:rPr>
                <w:rFonts w:ascii="宋体" w:hAnsi="宋体" w:cs="宋体"/>
                <w:b/>
                <w:bCs/>
                <w:color w:val="000000"/>
                <w:sz w:val="20"/>
                <w:szCs w:val="20"/>
              </w:rPr>
            </w:r>
            <w:r/>
          </w:p>
        </w:tc>
        <w:tc>
          <w:tcPr>
            <w:tcW w:w="394"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rPr>
                <w:rFonts w:ascii="宋体" w:hAnsi="宋体" w:cs="宋体"/>
                <w:b/>
                <w:bCs/>
                <w:color w:val="000000"/>
                <w:sz w:val="20"/>
                <w:szCs w:val="20"/>
              </w:rPr>
            </w:r>
            <w:r/>
          </w:p>
        </w:tc>
        <w:tc>
          <w:tcPr>
            <w:tcW w:w="423"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否</w:t>
            </w:r>
            <w:r>
              <w:rPr>
                <w:rFonts w:ascii="宋体" w:hAnsi="宋体" w:cs="宋体"/>
                <w:b/>
                <w:bCs/>
                <w:color w:val="000000"/>
                <w:sz w:val="20"/>
                <w:szCs w:val="20"/>
              </w:rPr>
            </w:r>
            <w:r/>
          </w:p>
        </w:tc>
        <w:tc>
          <w:tcPr>
            <w:tcW w:w="439" w:type="pct"/>
            <w:vAlign w:val="center"/>
            <w:textDirection w:val="lrTb"/>
            <w:noWrap w:val="false"/>
          </w:tcPr>
          <w:p>
            <w:pPr>
              <w:pStyle w:val="982"/>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是</w:t>
            </w:r>
            <w:r>
              <w:rPr>
                <w:rFonts w:ascii="宋体" w:hAnsi="宋体" w:cs="宋体"/>
                <w:b/>
                <w:bCs/>
                <w:color w:val="000000"/>
                <w:sz w:val="20"/>
                <w:szCs w:val="20"/>
              </w:rPr>
            </w:r>
            <w:r/>
          </w:p>
        </w:tc>
      </w:tr>
      <w:tr>
        <w:trPr>
          <w:trHeight w:val="1575"/>
        </w:trPr>
        <w:tc>
          <w:tcPr>
            <w:tcW w:w="341" w:type="pct"/>
            <w:vAlign w:val="center"/>
            <w:textDirection w:val="lrTb"/>
            <w:noWrap w:val="false"/>
          </w:tcPr>
          <w:p>
            <w:pPr>
              <w:pStyle w:val="982"/>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3.8</w:t>
            </w:r>
            <w:r>
              <w:rPr>
                <w:rFonts w:ascii="宋体" w:hAnsi="宋体" w:cs="宋体"/>
                <w:b/>
                <w:bCs/>
                <w:color w:val="000000"/>
                <w:sz w:val="20"/>
                <w:szCs w:val="20"/>
                <w:lang w:bidi="ar"/>
              </w:rPr>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医药背景人员承诺</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Style w:val="1099"/>
                <w:lang w:bidi="ar"/>
              </w:rPr>
              <w:t xml:space="preserve">承诺医药专业背景人员不少于配备人员总数量</w:t>
            </w:r>
            <w:r>
              <w:rPr>
                <w:rStyle w:val="1098"/>
                <w:lang w:bidi="ar"/>
              </w:rPr>
              <w:t xml:space="preserve">30%</w:t>
            </w:r>
            <w:r>
              <w:rPr>
                <w:rStyle w:val="1099"/>
                <w:lang w:bidi="ar"/>
              </w:rPr>
              <w:t xml:space="preserve">，满足要求得</w:t>
            </w:r>
            <w:r>
              <w:rPr>
                <w:rStyle w:val="1098"/>
                <w:lang w:bidi="ar"/>
              </w:rPr>
              <w:t xml:space="preserve">1</w:t>
            </w:r>
            <w:r>
              <w:rPr>
                <w:rStyle w:val="1099"/>
                <w:lang w:bidi="ar"/>
              </w:rPr>
              <w:t xml:space="preserve">分。（提供承诺函。注：承诺函格式自拟，承诺内容作为本招标项目实施依据写入签约合同。）</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1</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2700"/>
        </w:trPr>
        <w:tc>
          <w:tcPr>
            <w:tcW w:w="341" w:type="pct"/>
            <w:vAlign w:val="center"/>
            <w:textDirection w:val="lrTb"/>
            <w:noWrap w:val="false"/>
          </w:tcPr>
          <w:p>
            <w:pPr>
              <w:pStyle w:val="982"/>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3.9</w:t>
            </w:r>
            <w:r>
              <w:rPr>
                <w:rFonts w:ascii="宋体" w:hAnsi="宋体" w:cs="宋体"/>
                <w:b/>
                <w:bCs/>
                <w:color w:val="000000"/>
                <w:sz w:val="20"/>
                <w:szCs w:val="20"/>
                <w:lang w:bidi="ar"/>
              </w:rPr>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专职管理人员承诺</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Style w:val="1099"/>
                <w:lang w:bidi="ar"/>
              </w:rPr>
              <w:t xml:space="preserve">承诺按要求配备本单位专职管理人员</w:t>
            </w:r>
            <w:r>
              <w:rPr>
                <w:rStyle w:val="1098"/>
                <w:lang w:bidi="ar"/>
              </w:rPr>
              <w:t xml:space="preserve">2</w:t>
            </w:r>
            <w:r>
              <w:rPr>
                <w:rStyle w:val="1099"/>
                <w:lang w:bidi="ar"/>
              </w:rPr>
              <w:t xml:space="preserve">名以上（第一分包不少于</w:t>
            </w:r>
            <w:r>
              <w:rPr>
                <w:rStyle w:val="1098"/>
                <w:lang w:bidi="ar"/>
              </w:rPr>
              <w:t xml:space="preserve">4</w:t>
            </w:r>
            <w:r>
              <w:rPr>
                <w:rStyle w:val="1099"/>
                <w:lang w:bidi="ar"/>
              </w:rPr>
              <w:t xml:space="preserve">人），其中含</w:t>
            </w:r>
            <w:r>
              <w:rPr>
                <w:rStyle w:val="1098"/>
                <w:lang w:bidi="ar"/>
              </w:rPr>
              <w:t xml:space="preserve">1</w:t>
            </w:r>
            <w:r>
              <w:rPr>
                <w:rStyle w:val="1099"/>
                <w:lang w:bidi="ar"/>
              </w:rPr>
              <w:t xml:space="preserve">名项目负责人</w:t>
            </w:r>
            <w:r>
              <w:rPr>
                <w:rStyle w:val="1099"/>
                <w:lang w:bidi="ar"/>
              </w:rPr>
              <w:t xml:space="preserve">，满足要求得</w:t>
            </w:r>
            <w:r>
              <w:rPr>
                <w:rStyle w:val="1098"/>
                <w:lang w:bidi="ar"/>
              </w:rPr>
              <w:t xml:space="preserve">1</w:t>
            </w:r>
            <w:r>
              <w:rPr>
                <w:rStyle w:val="1099"/>
                <w:lang w:bidi="ar"/>
              </w:rPr>
              <w:t xml:space="preserve">分；提供符合要求的专职管理人员名单并且承诺项目期限内不再更换，满足要求得</w:t>
            </w:r>
            <w:r>
              <w:rPr>
                <w:rStyle w:val="1098"/>
                <w:lang w:bidi="ar"/>
              </w:rPr>
              <w:t xml:space="preserve">1</w:t>
            </w:r>
            <w:r>
              <w:rPr>
                <w:rStyle w:val="1099"/>
                <w:lang w:bidi="ar"/>
              </w:rPr>
              <w:t xml:space="preserve">分。（提供承诺函。注：承诺函格式自拟，承诺内容作为本招标项目实施依据写入签约合同。）</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1605"/>
        </w:trPr>
        <w:tc>
          <w:tcPr>
            <w:tcW w:w="341" w:type="pct"/>
            <w:vAlign w:val="center"/>
            <w:textDirection w:val="lrTb"/>
            <w:noWrap w:val="false"/>
          </w:tcPr>
          <w:p>
            <w:pPr>
              <w:pStyle w:val="982"/>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3.10</w:t>
            </w:r>
            <w:r>
              <w:rPr>
                <w:rFonts w:ascii="宋体" w:hAnsi="宋体" w:cs="宋体"/>
                <w:b/>
                <w:bCs/>
                <w:color w:val="000000"/>
                <w:sz w:val="20"/>
                <w:szCs w:val="20"/>
                <w:lang w:bidi="ar"/>
              </w:rPr>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专职财务人员承诺</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Style w:val="1099"/>
                <w:lang w:bidi="ar"/>
              </w:rPr>
              <w:t xml:space="preserve">承诺提供专职财务人员且符合专业背景，满足要求得</w:t>
            </w:r>
            <w:r>
              <w:rPr>
                <w:rStyle w:val="1098"/>
                <w:lang w:bidi="ar"/>
              </w:rPr>
              <w:t xml:space="preserve">1</w:t>
            </w:r>
            <w:r>
              <w:rPr>
                <w:rStyle w:val="1099"/>
                <w:lang w:bidi="ar"/>
              </w:rPr>
              <w:t xml:space="preserve">分。（提供承诺函。注：承诺函格式自拟，承诺内容作为本招标项目实施依据写入签约合同。）</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1</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r>
        <w:trPr>
          <w:trHeight w:val="1560"/>
        </w:trPr>
        <w:tc>
          <w:tcPr>
            <w:tcW w:w="341"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3.11</w:t>
            </w:r>
            <w:r/>
          </w:p>
        </w:tc>
        <w:tc>
          <w:tcPr>
            <w:tcW w:w="690"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专职信息技术人员承诺</w:t>
            </w:r>
            <w:r/>
          </w:p>
        </w:tc>
        <w:tc>
          <w:tcPr>
            <w:tcW w:w="2345" w:type="pct"/>
            <w:vAlign w:val="center"/>
            <w:textDirection w:val="lrTb"/>
            <w:noWrap w:val="false"/>
          </w:tcPr>
          <w:p>
            <w:pPr>
              <w:pStyle w:val="982"/>
              <w:jc w:val="left"/>
              <w:widowControl/>
              <w:rPr>
                <w:rFonts w:hint="eastAsia" w:ascii="等线" w:hAnsi="等线" w:eastAsia="等线" w:cs="等线"/>
                <w:b/>
                <w:bCs/>
                <w:color w:val="000000"/>
                <w:sz w:val="20"/>
                <w:szCs w:val="20"/>
                <w:lang w:bidi="ar"/>
              </w:rPr>
            </w:pPr>
            <w:r>
              <w:rPr>
                <w:rStyle w:val="1099"/>
                <w:lang w:bidi="ar"/>
              </w:rPr>
              <w:t xml:space="preserve">承诺按经办机构要求提供专职的信息技术人员，满足要求得</w:t>
            </w:r>
            <w:r>
              <w:rPr>
                <w:rStyle w:val="1098"/>
                <w:lang w:bidi="ar"/>
              </w:rPr>
              <w:t xml:space="preserve">1</w:t>
            </w:r>
            <w:r>
              <w:rPr>
                <w:rStyle w:val="1099"/>
                <w:lang w:bidi="ar"/>
              </w:rPr>
              <w:t xml:space="preserve">分。（提供承诺函。注：承诺函格式自拟，承诺内容作为本招标项目实施依据写入签约合同。）</w:t>
            </w:r>
            <w:r>
              <w:rPr>
                <w:rFonts w:hint="eastAsia" w:ascii="等线" w:hAnsi="等线" w:eastAsia="等线" w:cs="等线"/>
                <w:b/>
                <w:bCs/>
                <w:color w:val="000000"/>
                <w:sz w:val="20"/>
                <w:szCs w:val="20"/>
                <w:lang w:bidi="ar"/>
              </w:rPr>
            </w:r>
            <w:r/>
          </w:p>
        </w:tc>
        <w:tc>
          <w:tcPr>
            <w:tcW w:w="368"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0</w:t>
            </w:r>
            <w:r/>
          </w:p>
        </w:tc>
        <w:tc>
          <w:tcPr>
            <w:tcW w:w="394"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1</w:t>
            </w:r>
            <w:r/>
          </w:p>
        </w:tc>
        <w:tc>
          <w:tcPr>
            <w:tcW w:w="423"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否</w:t>
            </w:r>
            <w:r/>
          </w:p>
        </w:tc>
        <w:tc>
          <w:tcPr>
            <w:tcW w:w="439" w:type="pct"/>
            <w:vAlign w:val="center"/>
            <w:textDirection w:val="lrTb"/>
            <w:noWrap w:val="false"/>
          </w:tcPr>
          <w:p>
            <w:pPr>
              <w:pStyle w:val="98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w:t>
            </w:r>
            <w:r/>
          </w:p>
        </w:tc>
      </w:tr>
    </w:tbl>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bCs/>
          <w:sz w:val="44"/>
        </w:rPr>
      </w:pPr>
      <w:r/>
      <w:bookmarkStart w:id="199" w:name="_Toc173761694"/>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w:t>
      </w:r>
      <w:bookmarkEnd w:id="199"/>
      <w:r>
        <w:rPr>
          <w:rFonts w:hint="eastAsia" w:ascii="黑体" w:eastAsia="黑体"/>
          <w:bCs/>
          <w:sz w:val="44"/>
        </w:rPr>
        <w:t xml:space="preserve"> </w:t>
      </w:r>
      <w:r/>
    </w:p>
    <w:p>
      <w:pPr>
        <w:pStyle w:val="982"/>
        <w:jc w:val="center"/>
        <w:rPr>
          <w:rFonts w:hint="eastAsia" w:ascii="宋体" w:hAnsi="宋体"/>
          <w:b/>
          <w:sz w:val="72"/>
        </w:rPr>
      </w:pPr>
      <w:r/>
      <w:bookmarkStart w:id="200" w:name="_Hlt26671244"/>
      <w:r/>
      <w:bookmarkEnd w:id="200"/>
      <w:r/>
      <w:bookmarkStart w:id="201" w:name="_Toc120614282"/>
      <w:r/>
      <w:bookmarkStart w:id="202" w:name="_Toc26554094"/>
      <w:r/>
      <w:bookmarkStart w:id="203" w:name="_Toc49090576"/>
      <w:r/>
      <w:bookmarkStart w:id="204" w:name="_Hlt26955039"/>
      <w:r/>
      <w:bookmarkEnd w:id="204"/>
      <w:r>
        <w:rPr>
          <w:rFonts w:hint="eastAsia" w:ascii="宋体" w:hAnsi="宋体"/>
          <w:b/>
          <w:sz w:val="72"/>
        </w:rPr>
      </w:r>
      <w:r/>
    </w:p>
    <w:p>
      <w:pPr>
        <w:pStyle w:val="982"/>
        <w:jc w:val="center"/>
        <w:rPr>
          <w:rFonts w:hint="eastAsia" w:ascii="宋体" w:hAnsi="宋体"/>
          <w:b/>
          <w:sz w:val="72"/>
        </w:rPr>
      </w:pPr>
      <w:r>
        <w:rPr>
          <w:rFonts w:hint="eastAsia" w:ascii="宋体" w:hAnsi="宋体"/>
          <w:b/>
          <w:sz w:val="72"/>
        </w:rPr>
        <w:t xml:space="preserve">投  标  文  件</w:t>
      </w:r>
      <w:r/>
    </w:p>
    <w:p>
      <w:pPr>
        <w:pStyle w:val="982"/>
        <w:jc w:val="center"/>
        <w:rPr>
          <w:rFonts w:hint="eastAsia" w:ascii="宋体" w:hAnsi="宋体"/>
          <w:b/>
          <w:sz w:val="72"/>
        </w:rPr>
      </w:pPr>
      <w:r>
        <w:rPr>
          <w:rFonts w:hint="eastAsia" w:ascii="宋体" w:hAnsi="宋体"/>
          <w:b/>
          <w:sz w:val="72"/>
        </w:rPr>
      </w:r>
      <w:r/>
    </w:p>
    <w:p>
      <w:pPr>
        <w:pStyle w:val="982"/>
        <w:jc w:val="center"/>
        <w:rPr>
          <w:rFonts w:hint="eastAsia" w:ascii="宋体" w:hAnsi="宋体"/>
          <w:b/>
          <w:sz w:val="72"/>
        </w:rPr>
      </w:pPr>
      <w:r>
        <w:rPr>
          <w:rFonts w:hint="eastAsia" w:ascii="宋体" w:hAnsi="宋体"/>
          <w:b/>
          <w:sz w:val="72"/>
        </w:rPr>
      </w:r>
      <w:r/>
    </w:p>
    <w:p>
      <w:pPr>
        <w:pStyle w:val="982"/>
        <w:jc w:val="center"/>
        <w:rPr>
          <w:rFonts w:hint="eastAsia" w:ascii="宋体" w:hAnsi="宋体"/>
          <w:b/>
          <w:sz w:val="36"/>
        </w:rPr>
      </w:pPr>
      <w:r>
        <w:rPr>
          <w:rFonts w:hint="eastAsia" w:ascii="宋体" w:hAnsi="宋体"/>
          <w:b/>
          <w:sz w:val="36"/>
        </w:rPr>
      </w:r>
      <w:r/>
    </w:p>
    <w:p>
      <w:pPr>
        <w:pStyle w:val="982"/>
        <w:jc w:val="center"/>
        <w:rPr>
          <w:rFonts w:hint="eastAsia" w:ascii="宋体" w:hAnsi="宋体"/>
          <w:b/>
          <w:sz w:val="36"/>
        </w:rPr>
      </w:pPr>
      <w:r>
        <w:rPr>
          <w:rFonts w:hint="eastAsia" w:ascii="宋体" w:hAnsi="宋体"/>
          <w:b/>
          <w:sz w:val="36"/>
        </w:rPr>
      </w:r>
      <w:r/>
    </w:p>
    <w:p>
      <w:pPr>
        <w:pStyle w:val="982"/>
        <w:jc w:val="center"/>
        <w:rPr>
          <w:rFonts w:hint="eastAsia" w:ascii="宋体" w:hAnsi="宋体"/>
          <w:b/>
          <w:sz w:val="36"/>
        </w:rPr>
      </w:pPr>
      <w:r>
        <w:rPr>
          <w:rFonts w:hint="eastAsia" w:ascii="宋体" w:hAnsi="宋体"/>
          <w:b/>
          <w:sz w:val="36"/>
        </w:rPr>
      </w:r>
      <w:r/>
    </w:p>
    <w:p>
      <w:pPr>
        <w:pStyle w:val="98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8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8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8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82"/>
        <w:jc w:val="center"/>
        <w:spacing w:line="440" w:lineRule="exact"/>
        <w:rPr>
          <w:rFonts w:hint="eastAsia" w:ascii="宋体" w:hAnsi="宋体"/>
          <w:b/>
          <w:bCs/>
          <w:sz w:val="32"/>
          <w:szCs w:val="32"/>
        </w:rPr>
      </w:pPr>
      <w:r>
        <w:rPr>
          <w:rFonts w:hint="eastAsia" w:ascii="宋体" w:hAnsi="宋体"/>
          <w:b/>
          <w:bCs/>
          <w:sz w:val="32"/>
          <w:szCs w:val="32"/>
        </w:rPr>
      </w:r>
      <w:r/>
    </w:p>
    <w:p>
      <w:pPr>
        <w:pStyle w:val="982"/>
        <w:spacing w:line="440" w:lineRule="exact"/>
        <w:rPr>
          <w:rFonts w:ascii="宋体" w:hAnsi="宋体"/>
        </w:rPr>
      </w:pPr>
      <w:r>
        <w:rPr>
          <w:rFonts w:ascii="宋体" w:hAnsi="宋体"/>
        </w:rPr>
      </w:r>
      <w:r/>
    </w:p>
    <w:p>
      <w:pPr>
        <w:pStyle w:val="98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8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82"/>
        <w:jc w:val="center"/>
        <w:spacing w:line="440" w:lineRule="exact"/>
        <w:rPr>
          <w:rFonts w:hint="eastAsia" w:ascii="宋体" w:hAnsi="宋体"/>
          <w:b/>
          <w:bCs/>
          <w:sz w:val="32"/>
          <w:szCs w:val="32"/>
        </w:rPr>
      </w:pPr>
      <w:r>
        <w:rPr>
          <w:rFonts w:hint="eastAsia" w:ascii="宋体" w:hAnsi="宋体"/>
          <w:b/>
          <w:bCs/>
          <w:sz w:val="32"/>
          <w:szCs w:val="32"/>
        </w:rPr>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三、授权书</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82"/>
        <w:ind w:firstLine="480"/>
        <w:spacing w:line="440" w:lineRule="exact"/>
        <w:rPr>
          <w:rFonts w:hint="eastAsia" w:ascii="宋体" w:hAnsi="宋体"/>
          <w:sz w:val="24"/>
        </w:rPr>
      </w:pPr>
      <w:r>
        <w:rPr>
          <w:rFonts w:hint="eastAsia" w:ascii="宋体" w:hAnsi="宋体"/>
          <w:sz w:val="24"/>
        </w:rPr>
        <w:t xml:space="preserve">五、技术要求响应及偏</w:t>
      </w:r>
      <w:r>
        <w:rPr>
          <w:rFonts w:hint="eastAsia" w:ascii="宋体" w:hAnsi="宋体"/>
          <w:sz w:val="24"/>
        </w:rPr>
        <w:t xml:space="preserve">离表</w:t>
      </w:r>
      <w:r/>
    </w:p>
    <w:p>
      <w:pPr>
        <w:pStyle w:val="982"/>
        <w:ind w:firstLine="480"/>
        <w:spacing w:line="440" w:lineRule="exact"/>
        <w:rPr>
          <w:rFonts w:ascii="宋体" w:hAnsi="宋体"/>
          <w:sz w:val="24"/>
        </w:rPr>
      </w:pPr>
      <w:r>
        <w:rPr>
          <w:rFonts w:hint="eastAsia" w:ascii="宋体" w:hAnsi="宋体"/>
          <w:sz w:val="24"/>
        </w:rPr>
        <w:t xml:space="preserve">六、商务要求响应及偏离表</w:t>
      </w:r>
      <w:r>
        <w:rPr>
          <w:rFonts w:ascii="宋体" w:hAnsi="宋体"/>
          <w:sz w:val="24"/>
        </w:rPr>
      </w:r>
      <w:r/>
    </w:p>
    <w:p>
      <w:pPr>
        <w:pStyle w:val="982"/>
        <w:ind w:firstLine="480"/>
        <w:spacing w:line="440" w:lineRule="exact"/>
        <w:rPr>
          <w:rFonts w:ascii="宋体" w:hAnsi="宋体"/>
          <w:i/>
          <w:sz w:val="24"/>
          <w:u w:val="single"/>
        </w:rPr>
      </w:pPr>
      <w:r>
        <w:rPr>
          <w:rFonts w:hint="eastAsia" w:ascii="宋体" w:hAnsi="宋体"/>
          <w:i/>
          <w:sz w:val="24"/>
          <w:u w:val="single"/>
        </w:rPr>
        <w:t xml:space="preserve">七、开标一览表</w:t>
      </w:r>
      <w:r>
        <w:rPr>
          <w:rFonts w:ascii="宋体" w:hAnsi="宋体"/>
          <w:i/>
          <w:sz w:val="24"/>
          <w:u w:val="single"/>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rPr>
          <w:rFonts w:ascii="黑体" w:hAnsi="黑体" w:eastAsia="黑体"/>
          <w:i/>
          <w:sz w:val="32"/>
          <w:szCs w:val="32"/>
          <w:u w:val="single"/>
        </w:rPr>
      </w:pPr>
      <w:r/>
      <w:bookmarkEnd w:id="201"/>
      <w:r/>
      <w:bookmarkEnd w:id="202"/>
      <w:r/>
      <w:bookmarkEnd w:id="203"/>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8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99"/>
        <w:ind w:firstLine="480"/>
        <w:spacing w:line="460" w:lineRule="exact"/>
      </w:pPr>
      <w:r>
        <w:rPr>
          <w:rFonts w:hint="eastAsia"/>
        </w:rPr>
        <w:t xml:space="preserve">致：常州市政府采购中心</w:t>
      </w:r>
      <w:r/>
    </w:p>
    <w:p>
      <w:pPr>
        <w:pStyle w:val="999"/>
        <w:ind w:firstLine="840"/>
        <w:spacing w:line="460" w:lineRule="exact"/>
        <w:rPr>
          <w:u w:val="single"/>
        </w:rPr>
      </w:pPr>
      <w:r>
        <w:rPr>
          <w:rFonts w:hint="eastAsia"/>
          <w:u w:val="single"/>
        </w:rPr>
        <w:t xml:space="preserve">（采购人名称）</w:t>
      </w:r>
      <w:r>
        <w:rPr>
          <w:u w:val="single"/>
        </w:rPr>
      </w:r>
      <w:r/>
    </w:p>
    <w:p>
      <w:pPr>
        <w:pStyle w:val="999"/>
        <w:ind w:firstLine="480"/>
        <w:spacing w:line="460" w:lineRule="exact"/>
      </w:pPr>
      <w:r>
        <w:rPr>
          <w:rFonts w:hint="eastAsia"/>
        </w:rPr>
        <w:t xml:space="preserve">按照《中华人民共和国政府采购法》第二十二条和招标文件的规定，我单位郑重声明如下：</w:t>
      </w:r>
      <w:r/>
    </w:p>
    <w:p>
      <w:pPr>
        <w:pStyle w:val="99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9"/>
        <w:ind w:firstLine="480"/>
        <w:spacing w:line="460" w:lineRule="exact"/>
      </w:pPr>
      <w:r>
        <w:rPr>
          <w:rFonts w:hint="eastAsia"/>
        </w:rPr>
        <w:t xml:space="preserve">二、我单位具有良好的商业信誉（指投标人经营状况良好，无本资格声明第十条情形）和健全的财务会计制度。</w:t>
      </w:r>
      <w:r/>
    </w:p>
    <w:p>
      <w:pPr>
        <w:pStyle w:val="999"/>
        <w:ind w:firstLine="480"/>
        <w:spacing w:line="460" w:lineRule="exact"/>
      </w:pPr>
      <w:r>
        <w:rPr>
          <w:rFonts w:hint="eastAsia"/>
        </w:rPr>
        <w:t xml:space="preserve">三、我单位依法进行纳税和社会保险申报并实际履行了义务。</w:t>
      </w:r>
      <w:r/>
    </w:p>
    <w:p>
      <w:pPr>
        <w:pStyle w:val="99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9"/>
        <w:ind w:firstLine="480"/>
        <w:spacing w:line="460" w:lineRule="exact"/>
      </w:pPr>
      <w:r>
        <w:rPr>
          <w:rFonts w:hint="eastAsia"/>
        </w:rPr>
        <w:t xml:space="preserve">主要设备有：</w:t>
      </w:r>
      <w:r>
        <w:rPr>
          <w:u w:val="single"/>
        </w:rPr>
        <w:t xml:space="preserve">            </w:t>
      </w:r>
      <w:r/>
    </w:p>
    <w:p>
      <w:pPr>
        <w:pStyle w:val="999"/>
        <w:ind w:firstLine="480"/>
        <w:spacing w:line="460" w:lineRule="exact"/>
      </w:pPr>
      <w:r>
        <w:rPr>
          <w:rFonts w:hint="eastAsia"/>
        </w:rPr>
        <w:t xml:space="preserve">主要专业技术能力有</w:t>
      </w:r>
      <w:r>
        <w:rPr>
          <w:rFonts w:hint="eastAsia"/>
          <w:u w:val="single"/>
        </w:rPr>
        <w:t xml:space="preserve">                 </w:t>
      </w:r>
      <w:r/>
    </w:p>
    <w:p>
      <w:pPr>
        <w:pStyle w:val="999"/>
        <w:ind w:firstLine="480"/>
        <w:spacing w:line="460" w:lineRule="exact"/>
      </w:pPr>
      <w:r>
        <w:rPr>
          <w:rFonts w:hint="eastAsia"/>
        </w:rPr>
        <w:t xml:space="preserve">五、我单位在参加采购项目政府采购活动前三年内，在经营活动中，未因违法</w:t>
      </w:r>
      <w:r>
        <w:rPr>
          <w:rFonts w:hint="eastAsia"/>
        </w:rPr>
        <w:t xml:space="preserve">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9"/>
        <w:ind w:firstLine="480"/>
        <w:spacing w:line="460" w:lineRule="exact"/>
      </w:pPr>
      <w:r>
        <w:rPr>
          <w:rFonts w:hint="eastAsia"/>
        </w:rPr>
        <w:t xml:space="preserve">六、我单位具备法律、行政法规规定的其他条件。</w:t>
      </w:r>
      <w:r/>
    </w:p>
    <w:p>
      <w:pPr>
        <w:pStyle w:val="99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9"/>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99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9"/>
        <w:ind w:firstLine="480"/>
        <w:spacing w:line="460" w:lineRule="exact"/>
      </w:pPr>
      <w:r>
        <w:rPr>
          <w:rFonts w:hint="eastAsia"/>
        </w:rPr>
        <w:t xml:space="preserve">九、</w:t>
      </w:r>
      <w:r>
        <w:t xml:space="preserve">我单位无以下不良信用记录情形：</w:t>
      </w:r>
      <w:r/>
    </w:p>
    <w:p>
      <w:pPr>
        <w:pStyle w:val="999"/>
        <w:ind w:firstLine="480"/>
        <w:spacing w:line="460" w:lineRule="exact"/>
      </w:pPr>
      <w:r>
        <w:t xml:space="preserve">1</w:t>
      </w:r>
      <w:r>
        <w:rPr>
          <w:rFonts w:hint="eastAsia"/>
        </w:rPr>
        <w:t xml:space="preserve">、在“信用中国”网站被列入失信被执行人和重大税收违法案件当事人名单；</w:t>
      </w:r>
      <w:r/>
    </w:p>
    <w:p>
      <w:pPr>
        <w:pStyle w:val="999"/>
        <w:ind w:firstLine="480"/>
        <w:spacing w:line="460" w:lineRule="exact"/>
      </w:pPr>
      <w:r>
        <w:t xml:space="preserve">2</w:t>
      </w:r>
      <w:r>
        <w:rPr>
          <w:rFonts w:hint="eastAsia"/>
        </w:rPr>
        <w:t xml:space="preserve">、在“中国政府采购网”网站被列入政府采购严重违法失信行为记录名单；</w:t>
      </w:r>
      <w:r/>
    </w:p>
    <w:p>
      <w:pPr>
        <w:pStyle w:val="999"/>
        <w:ind w:firstLine="480"/>
        <w:spacing w:line="460" w:lineRule="exact"/>
      </w:pPr>
      <w:r>
        <w:t xml:space="preserve">3</w:t>
      </w:r>
      <w:r>
        <w:rPr>
          <w:rFonts w:hint="eastAsia"/>
        </w:rPr>
        <w:t xml:space="preserve">、</w:t>
      </w:r>
      <w:r>
        <w:t xml:space="preserve">不符合《政府采</w:t>
      </w:r>
      <w:r>
        <w:t xml:space="preserve">购法》第二十二条规定的条件。</w:t>
      </w:r>
      <w:r/>
    </w:p>
    <w:p>
      <w:pPr>
        <w:pStyle w:val="999"/>
        <w:ind w:firstLine="480"/>
        <w:spacing w:line="460" w:lineRule="exact"/>
      </w:pPr>
      <w:r/>
      <w:r/>
    </w:p>
    <w:p>
      <w:pPr>
        <w:pStyle w:val="99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9"/>
        <w:ind w:firstLine="480"/>
        <w:spacing w:line="460" w:lineRule="exact"/>
      </w:pPr>
      <w:r/>
      <w:r/>
    </w:p>
    <w:p>
      <w:pPr>
        <w:pStyle w:val="999"/>
        <w:ind w:firstLine="480"/>
        <w:spacing w:line="460" w:lineRule="exact"/>
      </w:pPr>
      <w:r/>
      <w:r/>
    </w:p>
    <w:p>
      <w:pPr>
        <w:pStyle w:val="999"/>
        <w:ind w:firstLine="480"/>
        <w:spacing w:line="460" w:lineRule="exact"/>
      </w:pPr>
      <w:r>
        <w:rPr>
          <w:rFonts w:hint="eastAsia"/>
        </w:rPr>
        <w:t xml:space="preserve">                                            投标人：（加盖公章）</w:t>
      </w:r>
      <w:r/>
    </w:p>
    <w:p>
      <w:pPr>
        <w:pStyle w:val="999"/>
        <w:ind w:firstLine="480"/>
        <w:spacing w:line="460" w:lineRule="exact"/>
      </w:pPr>
      <w:r>
        <w:rPr>
          <w:rFonts w:hint="eastAsia"/>
        </w:rPr>
        <w:t xml:space="preserve">                                           法定代表人（或单位负责人）签字或盖章：</w:t>
      </w:r>
      <w:r/>
    </w:p>
    <w:p>
      <w:pPr>
        <w:pStyle w:val="999"/>
        <w:ind w:firstLine="4305"/>
        <w:spacing w:line="460" w:lineRule="exact"/>
        <w:rPr>
          <w:rFonts w:hint="eastAsia"/>
        </w:rPr>
      </w:pPr>
      <w:r>
        <w:rPr>
          <w:rFonts w:hint="eastAsia"/>
        </w:rPr>
        <w:t xml:space="preserve">日期：    年    月    日</w:t>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82"/>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pStyle w:val="98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82"/>
        <w:ind w:firstLine="480"/>
        <w:rPr>
          <w:rFonts w:hint="eastAsia" w:ascii="等线" w:hAnsi="等线" w:eastAsia="等线"/>
          <w:sz w:val="24"/>
          <w:szCs w:val="24"/>
        </w:rPr>
      </w:pPr>
      <w:r>
        <w:rPr>
          <w:rFonts w:hint="eastAsia" w:ascii="等线" w:hAnsi="等线" w:eastAsia="等线"/>
          <w:sz w:val="24"/>
          <w:szCs w:val="24"/>
        </w:rPr>
        <w:t xml:space="preserve">（1）投标人或投标人所属省级公司必须在中国银行保险监督管理委员会江苏监管局公示的大病保险经营资质名单中；</w:t>
      </w:r>
      <w:r/>
    </w:p>
    <w:p>
      <w:pPr>
        <w:pStyle w:val="982"/>
        <w:ind w:firstLine="480"/>
        <w:rPr>
          <w:rFonts w:ascii="等线" w:hAnsi="等线" w:eastAsia="等线"/>
          <w:sz w:val="24"/>
          <w:szCs w:val="24"/>
        </w:rPr>
      </w:pPr>
      <w:r>
        <w:rPr>
          <w:rFonts w:hint="eastAsia" w:ascii="等线" w:hAnsi="等线" w:eastAsia="等线"/>
          <w:sz w:val="24"/>
          <w:szCs w:val="24"/>
        </w:rPr>
        <w:t xml:space="preserve">（2）</w:t>
      </w:r>
      <w:r>
        <w:rPr>
          <w:rFonts w:hint="eastAsia" w:ascii="等线" w:hAnsi="等线" w:eastAsia="等线"/>
          <w:sz w:val="24"/>
          <w:szCs w:val="24"/>
        </w:rPr>
        <w:t xml:space="preserve">同一保险集团公司参与同一分包的子公司仅限一家</w:t>
      </w:r>
      <w:r>
        <w:rPr>
          <w:rFonts w:hint="eastAsia" w:ascii="等线" w:hAnsi="等线" w:eastAsia="等线"/>
          <w:sz w:val="24"/>
          <w:szCs w:val="24"/>
        </w:rPr>
        <w:t xml:space="preserve">；</w:t>
      </w:r>
      <w:r>
        <w:rPr>
          <w:rFonts w:ascii="等线" w:hAnsi="等线" w:eastAsia="等线"/>
          <w:sz w:val="24"/>
          <w:szCs w:val="24"/>
        </w:rPr>
      </w:r>
      <w:r/>
    </w:p>
    <w:p>
      <w:pPr>
        <w:pStyle w:val="982"/>
        <w:ind w:firstLine="480"/>
        <w:rPr>
          <w:rFonts w:hint="eastAsia"/>
        </w:rPr>
      </w:pPr>
      <w:r>
        <w:rPr>
          <w:rFonts w:hint="eastAsia" w:ascii="等线" w:hAnsi="等线" w:eastAsia="等线"/>
          <w:sz w:val="24"/>
          <w:szCs w:val="24"/>
        </w:rPr>
        <w:t xml:space="preserve">（3）同一保险总公司仅能授权其一家地市级及以上分支机构参与，同时须提供总公司的法人企业授权书。</w:t>
      </w:r>
      <w:r>
        <w:rPr>
          <w:rFonts w:hint="eastAsia"/>
        </w:rPr>
      </w:r>
      <w:r/>
    </w:p>
    <w:p>
      <w:pPr>
        <w:pStyle w:val="982"/>
        <w:spacing w:line="460" w:lineRule="exact"/>
        <w:rPr>
          <w:rFonts w:hint="eastAsia" w:ascii="宋体" w:hAnsi="宋体"/>
          <w:bCs/>
          <w:sz w:val="24"/>
        </w:rPr>
      </w:pPr>
      <w:r>
        <w:rPr>
          <w:rFonts w:hint="eastAsia" w:ascii="宋体" w:hAnsi="宋体"/>
          <w:bCs/>
          <w:sz w:val="24"/>
        </w:rPr>
      </w:r>
      <w:r/>
    </w:p>
    <w:p>
      <w:pPr>
        <w:pStyle w:val="98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82"/>
        <w:jc w:val="center"/>
        <w:rPr>
          <w:rFonts w:ascii="黑体" w:hAnsi="黑体" w:eastAsia="黑体"/>
          <w:i/>
          <w:sz w:val="32"/>
          <w:szCs w:val="32"/>
          <w:u w:val="single"/>
        </w:rPr>
      </w:pPr>
      <w:r>
        <w:rPr>
          <w:rFonts w:ascii="黑体" w:hAnsi="黑体" w:eastAsia="黑体"/>
          <w:i/>
          <w:sz w:val="32"/>
          <w:szCs w:val="32"/>
          <w:u w:val="single"/>
        </w:r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rPr>
          <w:rFonts w:hint="eastAsia"/>
        </w:rPr>
      </w:pPr>
      <w:r>
        <w:rPr>
          <w:rFonts w:hint="eastAsia"/>
        </w:rPr>
      </w:r>
      <w:r/>
    </w:p>
    <w:p>
      <w:pPr>
        <w:pStyle w:val="982"/>
        <w:jc w:val="center"/>
        <w:rPr>
          <w:rFonts w:hint="eastAsia" w:ascii="黑体" w:hAnsi="黑体" w:eastAsia="黑体"/>
          <w:i/>
          <w:sz w:val="32"/>
          <w:szCs w:val="32"/>
          <w:u w:val="single"/>
        </w:rPr>
      </w:pPr>
      <w:r>
        <w:rPr>
          <w:rFonts w:hint="eastAsia" w:ascii="黑体" w:hAnsi="黑体" w:eastAsia="黑体"/>
          <w:i/>
          <w:sz w:val="32"/>
          <w:szCs w:val="32"/>
          <w:u w:val="single"/>
        </w:rPr>
        <w:t xml:space="preserve">三、授权书</w:t>
      </w:r>
      <w:r/>
    </w:p>
    <w:p>
      <w:pPr>
        <w:pStyle w:val="106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69"/>
        <w:ind w:firstLine="480"/>
        <w:rPr>
          <w:rFonts w:hint="eastAsia"/>
          <w:sz w:val="24"/>
          <w:szCs w:val="24"/>
        </w:rPr>
      </w:pPr>
      <w:r>
        <w:rPr>
          <w:rFonts w:hint="eastAsia"/>
          <w:sz w:val="24"/>
          <w:szCs w:val="24"/>
        </w:rPr>
        <w:t xml:space="preserve">本授权书于______年____月____日起生效，特此声明。</w:t>
      </w:r>
      <w:r/>
    </w:p>
    <w:p>
      <w:pPr>
        <w:pStyle w:val="106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6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6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69"/>
        <w:ind w:firstLine="480"/>
        <w:rPr>
          <w:rFonts w:hint="eastAsia"/>
          <w:sz w:val="24"/>
          <w:szCs w:val="24"/>
        </w:rPr>
      </w:pPr>
      <w:r>
        <w:rPr>
          <w:rFonts w:hint="eastAsia"/>
          <w:sz w:val="24"/>
          <w:szCs w:val="24"/>
        </w:rPr>
        <w:t xml:space="preserve">      日期：</w:t>
      </w:r>
      <w:bookmarkStart w:id="206" w:name="_Hlt26955070"/>
      <w:r/>
      <w:bookmarkEnd w:id="206"/>
      <w:r/>
      <w:bookmarkStart w:id="207" w:name="_格式3__银行出具的资信证明"/>
      <w:r/>
      <w:bookmarkEnd w:id="207"/>
      <w:r/>
      <w:bookmarkStart w:id="208" w:name="_Hlt26671380"/>
      <w:r/>
      <w:bookmarkEnd w:id="208"/>
      <w:r>
        <w:rPr>
          <w:rFonts w:hint="eastAsia"/>
          <w:sz w:val="24"/>
          <w:szCs w:val="24"/>
          <w:u w:val="single"/>
        </w:rPr>
        <w:t xml:space="preserve">                                         </w:t>
      </w:r>
      <w:r>
        <w:rPr>
          <w:rFonts w:hint="eastAsia"/>
          <w:sz w:val="24"/>
          <w:szCs w:val="24"/>
        </w:rPr>
      </w:r>
      <w:r/>
    </w:p>
    <w:p>
      <w:pPr>
        <w:pStyle w:val="999"/>
        <w:rPr>
          <w:rFonts w:hint="eastAsia"/>
          <w:i/>
          <w:sz w:val="24"/>
          <w:szCs w:val="24"/>
          <w:u w:val="single"/>
        </w:rPr>
      </w:pPr>
      <w:r>
        <w:rPr>
          <w:rFonts w:hint="eastAsia"/>
          <w:i/>
          <w:sz w:val="24"/>
          <w:szCs w:val="24"/>
          <w:u w:val="single"/>
        </w:rPr>
      </w:r>
      <w:r/>
    </w:p>
    <w:p>
      <w:pPr>
        <w:pStyle w:val="999"/>
        <w:ind w:firstLine="0"/>
        <w:rPr>
          <w:rFonts w:hint="eastAsia"/>
        </w:rPr>
      </w:pPr>
      <w:r>
        <w:rPr>
          <w:rFonts w:hint="eastAsia"/>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pPr>
      <w:r/>
      <w:r/>
    </w:p>
    <w:p>
      <w:pPr>
        <w:pStyle w:val="995"/>
        <w:rPr>
          <w:rFonts w:hint="eastAsia"/>
        </w:rPr>
      </w:pPr>
      <w:r>
        <w:rPr>
          <w:rFonts w:hint="eastAsia"/>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ascii="楷体" w:hAnsi="楷体" w:eastAsia="楷体"/>
          <w:bCs/>
          <w:sz w:val="24"/>
          <w:szCs w:val="24"/>
        </w:rPr>
      </w:pPr>
      <w:r>
        <w:rPr>
          <w:rFonts w:ascii="楷体" w:hAnsi="楷体" w:eastAsia="楷体"/>
          <w:bCs/>
          <w:sz w:val="24"/>
          <w:szCs w:val="24"/>
        </w:rPr>
      </w:r>
      <w:r/>
    </w:p>
    <w:p>
      <w:pPr>
        <w:pStyle w:val="982"/>
        <w:spacing w:line="460" w:lineRule="exact"/>
        <w:rPr>
          <w:rFonts w:hint="eastAsia" w:ascii="楷体" w:hAnsi="楷体" w:eastAsia="楷体"/>
          <w:bCs/>
          <w:sz w:val="24"/>
          <w:szCs w:val="24"/>
        </w:rPr>
      </w:pPr>
      <w:r>
        <w:rPr>
          <w:rFonts w:hint="eastAsia" w:ascii="楷体" w:hAnsi="楷体" w:eastAsia="楷体"/>
          <w:bCs/>
          <w:sz w:val="24"/>
          <w:szCs w:val="24"/>
        </w:rPr>
      </w:r>
      <w:r/>
    </w:p>
    <w:p>
      <w:pPr>
        <w:pStyle w:val="982"/>
        <w:jc w:val="center"/>
        <w:rPr>
          <w:rFonts w:ascii="黑体" w:hAnsi="黑体" w:eastAsia="黑体"/>
          <w:i/>
          <w:sz w:val="32"/>
          <w:szCs w:val="32"/>
          <w:u w:val="single"/>
        </w:rPr>
      </w:pPr>
      <w:r>
        <w:rPr>
          <w:rFonts w:hint="eastAsia" w:ascii="黑体" w:hAnsi="黑体" w:eastAsia="黑体"/>
          <w:i/>
          <w:sz w:val="32"/>
          <w:szCs w:val="32"/>
          <w:u w:val="single"/>
        </w:rPr>
        <w:t xml:space="preserve">四、投标函</w:t>
      </w:r>
      <w:r>
        <w:rPr>
          <w:rFonts w:ascii="黑体" w:hAnsi="黑体" w:eastAsia="黑体"/>
          <w:i/>
          <w:sz w:val="32"/>
          <w:szCs w:val="32"/>
          <w:u w:val="single"/>
        </w:rPr>
      </w:r>
      <w:r/>
    </w:p>
    <w:p>
      <w:pPr>
        <w:pStyle w:val="107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w:t>
      </w:r>
      <w:r>
        <w:rPr>
          <w:rFonts w:hint="eastAsia" w:ascii="宋体" w:hAnsi="宋体"/>
          <w:szCs w:val="21"/>
        </w:rPr>
        <w:t xml:space="preserve">权下述被授权人______(姓名)代表我方______________（投标人的名称），全权处理本次项目投标的有关事宜。</w:t>
      </w:r>
      <w:r/>
    </w:p>
    <w:p>
      <w:pPr>
        <w:pStyle w:val="107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1"/>
        <w:ind w:left="420"/>
        <w:spacing w:before="0" w:after="0" w:line="420" w:lineRule="exact"/>
        <w:rPr>
          <w:rFonts w:hint="eastAsia" w:ascii="宋体" w:hAnsi="宋体"/>
          <w:szCs w:val="21"/>
        </w:rPr>
      </w:pPr>
      <w:r>
        <w:rPr>
          <w:rFonts w:hint="eastAsia" w:ascii="宋体" w:hAnsi="宋体"/>
          <w:szCs w:val="21"/>
        </w:rPr>
        <w:t xml:space="preserve">地          址：</w:t>
      </w:r>
      <w:r/>
    </w:p>
    <w:p>
      <w:pPr>
        <w:pStyle w:val="1071"/>
        <w:ind w:left="420"/>
        <w:spacing w:before="0" w:after="0" w:line="420" w:lineRule="exact"/>
        <w:rPr>
          <w:rFonts w:hint="eastAsia" w:ascii="宋体" w:hAnsi="宋体"/>
          <w:szCs w:val="21"/>
        </w:rPr>
      </w:pPr>
      <w:r>
        <w:rPr>
          <w:rFonts w:hint="eastAsia" w:ascii="宋体" w:hAnsi="宋体"/>
          <w:szCs w:val="21"/>
        </w:rPr>
        <w:t xml:space="preserve">邮          编：</w:t>
      </w:r>
      <w:r/>
    </w:p>
    <w:p>
      <w:pPr>
        <w:pStyle w:val="1071"/>
        <w:ind w:left="420"/>
        <w:spacing w:before="0" w:after="0" w:line="420" w:lineRule="exact"/>
        <w:rPr>
          <w:rFonts w:hint="eastAsia" w:ascii="宋体" w:hAnsi="宋体"/>
          <w:szCs w:val="21"/>
        </w:rPr>
      </w:pPr>
      <w:r>
        <w:rPr>
          <w:rFonts w:hint="eastAsia" w:ascii="宋体" w:hAnsi="宋体"/>
          <w:szCs w:val="21"/>
        </w:rPr>
        <w:t xml:space="preserve">电          话：</w:t>
      </w:r>
      <w:r/>
    </w:p>
    <w:p>
      <w:pPr>
        <w:pStyle w:val="1071"/>
        <w:ind w:left="420"/>
        <w:spacing w:before="0" w:after="0" w:line="420" w:lineRule="exact"/>
        <w:rPr>
          <w:rFonts w:hint="eastAsia" w:ascii="宋体" w:hAnsi="宋体"/>
          <w:szCs w:val="21"/>
        </w:rPr>
      </w:pPr>
      <w:r>
        <w:rPr>
          <w:rFonts w:hint="eastAsia" w:ascii="宋体" w:hAnsi="宋体"/>
          <w:szCs w:val="21"/>
        </w:rPr>
        <w:t xml:space="preserve">传          真：</w:t>
      </w:r>
      <w:r/>
    </w:p>
    <w:p>
      <w:pPr>
        <w:pStyle w:val="10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71"/>
        <w:ind w:left="420"/>
        <w:spacing w:before="0" w:after="0" w:line="420" w:lineRule="exact"/>
        <w:rPr>
          <w:rFonts w:hint="eastAsia" w:ascii="宋体" w:hAnsi="宋体"/>
          <w:szCs w:val="21"/>
        </w:rPr>
      </w:pPr>
      <w:r>
        <w:rPr>
          <w:rFonts w:hint="eastAsia" w:ascii="宋体" w:hAnsi="宋体"/>
          <w:szCs w:val="21"/>
        </w:rPr>
        <w:t xml:space="preserve">账          号： </w:t>
      </w:r>
      <w:r/>
    </w:p>
    <w:p>
      <w:pPr>
        <w:pStyle w:val="10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ascii="宋体" w:hAnsi="宋体"/>
          <w:bCs/>
          <w:sz w:val="24"/>
        </w:rPr>
      </w:pPr>
      <w:r>
        <w:rPr>
          <w:rFonts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jc w:val="center"/>
        <w:spacing w:line="460" w:lineRule="exact"/>
        <w:rPr>
          <w:rFonts w:ascii="黑体" w:hAnsi="黑体" w:eastAsia="黑体"/>
          <w:b/>
          <w:sz w:val="32"/>
          <w:szCs w:val="32"/>
        </w:rPr>
      </w:pPr>
      <w:r>
        <w:rPr>
          <w:rFonts w:ascii="黑体" w:hAnsi="黑体" w:eastAsia="黑体"/>
          <w:b/>
          <w:sz w:val="32"/>
          <w:szCs w:val="32"/>
        </w:rPr>
      </w:r>
      <w:r/>
    </w:p>
    <w:p>
      <w:pPr>
        <w:pStyle w:val="982"/>
        <w:jc w:val="center"/>
        <w:rPr>
          <w:rFonts w:hint="eastAsia" w:ascii="黑体" w:hAnsi="黑体" w:eastAsia="黑体"/>
          <w:b/>
          <w:sz w:val="32"/>
          <w:szCs w:val="32"/>
        </w:rPr>
      </w:pPr>
      <w:r>
        <w:rPr>
          <w:rFonts w:hint="eastAsia" w:ascii="黑体" w:hAnsi="黑体" w:eastAsia="黑体"/>
          <w:b/>
          <w:sz w:val="32"/>
          <w:szCs w:val="32"/>
        </w:rPr>
        <w:t xml:space="preserve">五、技术要</w:t>
      </w:r>
      <w:r>
        <w:rPr>
          <w:rFonts w:hint="eastAsia" w:ascii="黑体" w:hAnsi="黑体" w:eastAsia="黑体"/>
          <w:b/>
          <w:sz w:val="32"/>
          <w:szCs w:val="32"/>
        </w:rPr>
        <w:t xml:space="preserve">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p>
          <w:p>
            <w:pPr>
              <w:pStyle w:val="9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p>
          <w:p>
            <w:pPr>
              <w:pStyle w:val="9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jc w:val="center"/>
        <w:rPr>
          <w:rFonts w:hint="eastAsia" w:ascii="黑体" w:hAnsi="黑体" w:eastAsia="黑体"/>
          <w:b/>
          <w:sz w:val="32"/>
          <w:szCs w:val="32"/>
        </w:rPr>
      </w:pPr>
      <w:r/>
      <w:bookmarkEnd w:id="205"/>
      <w:r/>
      <w:bookmarkStart w:id="209" w:name="_Hlt26955054"/>
      <w:r/>
      <w:bookmarkEnd w:id="209"/>
      <w:r>
        <w:rPr>
          <w:rFonts w:hint="eastAsia" w:ascii="黑体" w:hAnsi="黑体" w:eastAsia="黑体"/>
          <w:b/>
          <w:sz w:val="32"/>
          <w:szCs w:val="32"/>
        </w:rPr>
        <w:t xml:space="preserve">六、商务要求响应及偏离表（分包号：**）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b/>
                <w:color w:val="000000"/>
                <w:sz w:val="24"/>
              </w:rPr>
            </w:pPr>
            <w:r/>
            <w:bookmarkStart w:id="210" w:name="_Hlt26782999"/>
            <w:r/>
            <w:bookmarkEnd w:id="210"/>
            <w:r/>
            <w:bookmarkStart w:id="211" w:name="_Hlt26671343"/>
            <w:r/>
            <w:bookmarkEnd w:id="211"/>
            <w:r/>
            <w:bookmarkStart w:id="212" w:name="_Hlt24879081"/>
            <w:r/>
            <w:bookmarkEnd w:id="212"/>
            <w:r/>
            <w:bookmarkStart w:id="213" w:name="_Hlt26955064"/>
            <w:r/>
            <w:bookmarkEnd w:id="213"/>
            <w:r/>
            <w:bookmarkStart w:id="214" w:name="_Hlt26580838"/>
            <w:r/>
            <w:bookmarkEnd w:id="214"/>
            <w:r/>
            <w:bookmarkStart w:id="215" w:name="_Hlt26671372"/>
            <w:r/>
            <w:bookmarkEnd w:id="215"/>
            <w:r/>
            <w:bookmarkStart w:id="216" w:name="_Hlt26955056"/>
            <w:r/>
            <w:bookmarkEnd w:id="216"/>
            <w:r/>
            <w:bookmarkStart w:id="217" w:name="_Hlt26609391"/>
            <w:r/>
            <w:bookmarkEnd w:id="217"/>
            <w:r>
              <w:rPr>
                <w:rFonts w:hint="eastAsia"/>
                <w:b/>
                <w:color w:val="000000"/>
                <w:sz w:val="24"/>
              </w:rPr>
              <w:t xml:space="preserve">对本项目商务要求条款的偏离情况（请进行勾选）：</w:t>
            </w:r>
            <w:r>
              <w:rPr>
                <w:b/>
                <w:color w:val="000000"/>
                <w:sz w:val="24"/>
              </w:rPr>
            </w:r>
            <w:r/>
          </w:p>
          <w:p>
            <w:pPr>
              <w:pStyle w:val="9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p>
          <w:p>
            <w:pPr>
              <w:pStyle w:val="9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p>
          <w:p>
            <w:pPr>
              <w:pStyle w:val="9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p>
    <w:p>
      <w:pPr>
        <w:pStyle w:val="982"/>
        <w:spacing w:line="480" w:lineRule="auto"/>
        <w:rPr>
          <w:rFonts w:hint="eastAsia" w:ascii="宋体" w:hAnsi="宋体"/>
          <w:sz w:val="24"/>
        </w:rPr>
      </w:pPr>
      <w:r>
        <w:rPr>
          <w:rFonts w:hint="eastAsia" w:ascii="宋体" w:hAnsi="宋体"/>
          <w:sz w:val="24"/>
        </w:rPr>
      </w:r>
      <w:r/>
    </w:p>
    <w:p>
      <w:pPr>
        <w:pStyle w:val="982"/>
        <w:spacing w:line="480" w:lineRule="auto"/>
        <w:rPr>
          <w:rFonts w:hint="eastAsia" w:ascii="仿宋_GB2312" w:hAnsi="Arial"/>
          <w:sz w:val="30"/>
        </w:rPr>
      </w:pPr>
      <w:r>
        <w:rPr>
          <w:rFonts w:hint="eastAsia" w:ascii="仿宋_GB2312" w:hAnsi="Arial"/>
          <w:sz w:val="30"/>
        </w:rPr>
      </w:r>
      <w:r/>
    </w:p>
    <w:p>
      <w:pPr>
        <w:pStyle w:val="999"/>
        <w:ind w:firstLine="0"/>
        <w:rPr>
          <w:rFonts w:hint="eastAsia" w:ascii="宋体" w:hAnsi="宋体"/>
          <w:sz w:val="24"/>
        </w:rPr>
      </w:pPr>
      <w:r/>
      <w:bookmarkStart w:id="218" w:name="_Hlt26955066"/>
      <w:r/>
      <w:bookmarkEnd w:id="218"/>
      <w:r/>
      <w:bookmarkStart w:id="219" w:name="_Hlt26609389"/>
      <w:r/>
      <w:bookmarkEnd w:id="219"/>
      <w:r/>
      <w:bookmarkStart w:id="220" w:name="_Hlt26671374"/>
      <w:r/>
      <w:bookmarkEnd w:id="220"/>
      <w:r/>
      <w:bookmarkStart w:id="221" w:name="_Toc462564146"/>
      <w:r>
        <w:rPr>
          <w:rFonts w:hint="eastAsia" w:ascii="宋体" w:hAnsi="宋体"/>
          <w:sz w:val="24"/>
        </w:rPr>
      </w:r>
      <w:r/>
    </w:p>
    <w:p>
      <w:pPr>
        <w:pStyle w:val="982"/>
        <w:jc w:val="center"/>
        <w:rPr>
          <w:rFonts w:hint="eastAsia" w:ascii="黑体" w:hAnsi="黑体" w:eastAsia="黑体"/>
          <w:b/>
          <w:sz w:val="32"/>
          <w:szCs w:val="32"/>
        </w:rPr>
      </w:pPr>
      <w:r/>
      <w:bookmarkEnd w:id="192"/>
      <w:r/>
      <w:bookmarkEnd w:id="193"/>
      <w:r/>
      <w:bookmarkEnd w:id="221"/>
      <w:r/>
      <w:bookmarkStart w:id="222" w:name="_格式2__法定代表人授权书"/>
      <w:r/>
      <w:bookmarkEnd w:id="222"/>
      <w:r>
        <w:rPr>
          <w:rFonts w:hint="eastAsia" w:ascii="黑体" w:hAnsi="黑体" w:eastAsia="黑体"/>
          <w:b/>
          <w:sz w:val="32"/>
          <w:szCs w:val="32"/>
        </w:rPr>
      </w:r>
      <w:r/>
    </w:p>
    <w:p>
      <w:pPr>
        <w:pStyle w:val="982"/>
        <w:jc w:val="center"/>
        <w:rPr>
          <w:rFonts w:hint="eastAsia" w:ascii="黑体" w:hAnsi="黑体" w:eastAsia="黑体"/>
          <w:b/>
          <w:sz w:val="32"/>
          <w:szCs w:val="32"/>
        </w:rPr>
      </w:pPr>
      <w:r>
        <w:rPr>
          <w:rFonts w:hint="eastAsia" w:ascii="黑体" w:hAnsi="黑体" w:eastAsia="黑体"/>
          <w:b/>
          <w:sz w:val="32"/>
          <w:szCs w:val="32"/>
        </w:rPr>
      </w:r>
      <w:r/>
    </w:p>
    <w:p>
      <w:pPr>
        <w:pStyle w:val="982"/>
        <w:rPr>
          <w:rFonts w:hint="eastAsia" w:ascii="黑体" w:hAnsi="黑体" w:eastAsia="黑体"/>
          <w:b/>
          <w:sz w:val="32"/>
          <w:szCs w:val="32"/>
        </w:rPr>
      </w:pPr>
      <w:r>
        <w:rPr>
          <w:rFonts w:hint="eastAsia" w:ascii="黑体" w:hAnsi="黑体" w:eastAsia="黑体"/>
          <w:b/>
          <w:sz w:val="32"/>
          <w:szCs w:val="32"/>
        </w:rPr>
      </w:r>
      <w:r/>
    </w:p>
    <w:p>
      <w:pPr>
        <w:pStyle w:val="982"/>
        <w:rPr>
          <w:rFonts w:ascii="黑体" w:hAnsi="黑体" w:eastAsia="黑体"/>
          <w:b/>
          <w:sz w:val="32"/>
          <w:szCs w:val="32"/>
        </w:rPr>
      </w:pPr>
      <w:r>
        <w:rPr>
          <w:rFonts w:ascii="黑体" w:hAnsi="黑体" w:eastAsia="黑体"/>
          <w:b/>
          <w:sz w:val="32"/>
          <w:szCs w:val="32"/>
        </w:rPr>
      </w:r>
      <w:r/>
    </w:p>
    <w:p>
      <w:pPr>
        <w:pStyle w:val="982"/>
        <w:rPr>
          <w:rFonts w:hint="eastAsia" w:ascii="黑体" w:hAnsi="黑体" w:eastAsia="黑体"/>
          <w:b/>
          <w:sz w:val="32"/>
          <w:szCs w:val="32"/>
        </w:rPr>
      </w:pPr>
      <w:r>
        <w:rPr>
          <w:rFonts w:hint="eastAsia" w:ascii="黑体" w:hAnsi="黑体" w:eastAsia="黑体"/>
          <w:b/>
          <w:sz w:val="32"/>
          <w:szCs w:val="32"/>
        </w:rPr>
      </w:r>
      <w:r/>
    </w:p>
    <w:p>
      <w:pPr>
        <w:pStyle w:val="982"/>
        <w:rPr>
          <w:rFonts w:hint="eastAsia" w:ascii="黑体" w:hAnsi="黑体" w:eastAsia="黑体"/>
          <w:b/>
          <w:sz w:val="32"/>
          <w:szCs w:val="32"/>
        </w:rPr>
      </w:pPr>
      <w:r>
        <w:rPr>
          <w:rFonts w:hint="eastAsia" w:ascii="黑体" w:hAnsi="黑体" w:eastAsia="黑体"/>
          <w:b/>
          <w:sz w:val="32"/>
          <w:szCs w:val="32"/>
        </w:rPr>
      </w:r>
      <w:r/>
    </w:p>
    <w:p>
      <w:pPr>
        <w:pStyle w:val="982"/>
        <w:rPr>
          <w:rFonts w:hint="eastAsia" w:eastAsia="仿宋_GB2312"/>
          <w:sz w:val="24"/>
          <w:szCs w:val="20"/>
        </w:rPr>
      </w:pPr>
      <w:r>
        <w:rPr>
          <w:rFonts w:hint="eastAsia" w:ascii="黑体" w:hAnsi="黑体" w:eastAsia="黑体"/>
          <w:b/>
          <w:i/>
          <w:sz w:val="32"/>
          <w:szCs w:val="32"/>
          <w:u w:val="single"/>
        </w:rPr>
        <w:t xml:space="preserve">七、开标一览表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8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82"/>
        <w:ind w:firstLine="480"/>
        <w:rPr>
          <w:sz w:val="24"/>
          <w:szCs w:val="24"/>
        </w:rPr>
      </w:pPr>
      <w:r>
        <w:rPr>
          <w:rFonts w:hint="eastAsia" w:ascii="宋体" w:hAnsi="宋体"/>
          <w:sz w:val="24"/>
          <w:szCs w:val="24"/>
        </w:rPr>
        <w:t xml:space="preserve">项目名称：</w:t>
      </w:r>
      <w:r>
        <w:rPr>
          <w:sz w:val="24"/>
          <w:szCs w:val="24"/>
        </w:rPr>
      </w:r>
      <w:r/>
    </w:p>
    <w:p>
      <w:pPr>
        <w:pStyle w:val="98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cantSplit/>
          <w:trHeight w:val="725"/>
        </w:trPr>
        <w:tc>
          <w:tcPr>
            <w:tcW w:w="5000" w:type="pct"/>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投标承办份额</w:t>
            </w:r>
            <w:r/>
          </w:p>
        </w:tc>
      </w:tr>
      <w:tr>
        <w:trPr>
          <w:cantSplit/>
          <w:trHeight w:val="612"/>
        </w:trPr>
        <w:tc>
          <w:tcPr>
            <w:tcW w:w="5000" w:type="pct"/>
            <w:vAlign w:val="center"/>
            <w:textDirection w:val="lrTb"/>
            <w:noWrap w:val="false"/>
          </w:tcPr>
          <w:p>
            <w:pPr>
              <w:pStyle w:val="1071"/>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（单位:%）</w:t>
            </w:r>
            <w:r>
              <w:rPr>
                <w:rFonts w:hint="eastAsia" w:ascii="宋体" w:hAnsi="宋体"/>
                <w:szCs w:val="21"/>
              </w:rPr>
            </w:r>
            <w:r/>
          </w:p>
        </w:tc>
      </w:tr>
    </w:tbl>
    <w:p>
      <w:pPr>
        <w:pStyle w:val="98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82"/>
        <w:ind w:firstLine="480"/>
        <w:rPr>
          <w:rFonts w:ascii="宋体" w:hAnsi="宋体"/>
          <w:sz w:val="24"/>
          <w:szCs w:val="24"/>
        </w:rPr>
      </w:pPr>
      <w:r>
        <w:rPr>
          <w:rFonts w:hint="eastAsia" w:ascii="宋体" w:hAnsi="宋体"/>
          <w:sz w:val="24"/>
          <w:szCs w:val="24"/>
        </w:rPr>
        <w:t xml:space="preserve">注：1、</w:t>
      </w:r>
      <w:r>
        <w:rPr>
          <w:rFonts w:hint="eastAsia" w:ascii="宋体" w:hAnsi="宋体"/>
          <w:sz w:val="24"/>
          <w:szCs w:val="24"/>
        </w:rPr>
        <w:t xml:space="preserve">因系统原因，投标人根据各分包实际的承包份额填写本表即可。</w:t>
      </w:r>
      <w:r>
        <w:rPr>
          <w:rFonts w:ascii="宋体" w:hAnsi="宋体"/>
          <w:sz w:val="24"/>
          <w:szCs w:val="24"/>
        </w:rPr>
      </w:r>
      <w:r/>
    </w:p>
    <w:tbl>
      <w:tblPr>
        <w:tblpPr w:horzAnchor="page" w:tblpXSpec="center" w:vertAnchor="text" w:tblpY="301" w:leftFromText="180" w:topFromText="0" w:rightFromText="180" w:bottomFromText="0"/>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2445"/>
        <w:gridCol w:w="3097"/>
        <w:gridCol w:w="3627"/>
      </w:tblGrid>
      <w:tr>
        <w:trPr>
          <w:trHeight w:val="315"/>
        </w:trPr>
        <w:tc>
          <w:tcPr>
            <w:tcW w:w="1333" w:type="pct"/>
            <w:vAlign w:val="center"/>
            <w:textDirection w:val="lrTb"/>
            <w:noWrap w:val="false"/>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b/>
                <w:bCs/>
                <w:color w:val="000000"/>
                <w:sz w:val="24"/>
              </w:rPr>
              <w:t xml:space="preserve">分包号</w:t>
            </w:r>
            <w:r>
              <w:rPr>
                <w:rFonts w:ascii="仿宋" w:hAnsi="仿宋" w:eastAsia="仿宋" w:cs="仿宋"/>
                <w:b/>
                <w:bCs/>
                <w:color w:val="000000"/>
                <w:sz w:val="24"/>
              </w:rPr>
            </w:r>
            <w:r/>
          </w:p>
        </w:tc>
        <w:tc>
          <w:tcPr>
            <w:tcW w:w="1689" w:type="pct"/>
            <w:vAlign w:val="center"/>
            <w:textDirection w:val="lrTb"/>
            <w:noWrap w:val="false"/>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b/>
                <w:bCs/>
                <w:color w:val="000000"/>
                <w:sz w:val="24"/>
              </w:rPr>
              <w:t xml:space="preserve">承办内容</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b/>
                <w:bCs/>
                <w:color w:val="000000"/>
                <w:sz w:val="24"/>
              </w:rPr>
              <w:t xml:space="preserve">承办份额</w:t>
            </w:r>
            <w:r>
              <w:rPr>
                <w:rFonts w:ascii="仿宋" w:hAnsi="仿宋" w:eastAsia="仿宋" w:cs="仿宋"/>
                <w:b/>
                <w:bCs/>
                <w:color w:val="000000"/>
                <w:sz w:val="24"/>
              </w:rPr>
            </w:r>
            <w:r/>
          </w:p>
        </w:tc>
      </w:tr>
      <w:tr>
        <w:trPr>
          <w:trHeight w:val="315"/>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第一分包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市本级主承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41%</w:t>
            </w:r>
            <w:r>
              <w:rPr>
                <w:rFonts w:ascii="仿宋" w:hAnsi="仿宋" w:eastAsia="仿宋" w:cs="仿宋"/>
                <w:color w:val="000000"/>
                <w:sz w:val="24"/>
              </w:rPr>
            </w:r>
            <w:r/>
          </w:p>
        </w:tc>
      </w:tr>
      <w:tr>
        <w:trPr>
          <w:trHeight w:val="90"/>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第二分包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武进区主承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19.43%</w:t>
            </w:r>
            <w:r>
              <w:rPr>
                <w:rFonts w:ascii="仿宋" w:hAnsi="仿宋" w:eastAsia="仿宋" w:cs="仿宋"/>
                <w:color w:val="000000"/>
                <w:sz w:val="24"/>
              </w:rPr>
            </w:r>
            <w:r/>
          </w:p>
        </w:tc>
      </w:tr>
      <w:tr>
        <w:trPr>
          <w:trHeight w:val="335"/>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第三分包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溧阳市主承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14.58%</w:t>
            </w:r>
            <w:r>
              <w:rPr>
                <w:rFonts w:ascii="仿宋" w:hAnsi="仿宋" w:eastAsia="仿宋" w:cs="仿宋"/>
                <w:color w:val="000000"/>
                <w:sz w:val="24"/>
              </w:rPr>
            </w:r>
            <w:r/>
          </w:p>
        </w:tc>
      </w:tr>
      <w:tr>
        <w:trPr>
          <w:trHeight w:val="379"/>
        </w:trPr>
        <w:tc>
          <w:tcPr>
            <w:tcW w:w="1333"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第四分包</w:t>
            </w:r>
            <w:r>
              <w:rPr>
                <w:rFonts w:ascii="仿宋" w:hAnsi="仿宋" w:eastAsia="仿宋" w:cs="仿宋"/>
                <w:color w:val="000000"/>
                <w:sz w:val="24"/>
              </w:rPr>
            </w:r>
            <w:r/>
          </w:p>
        </w:tc>
        <w:tc>
          <w:tcPr>
            <w:tcW w:w="1689" w:type="pct"/>
            <w:vAlign w:val="center"/>
            <w:textDirection w:val="lrTb"/>
            <w:noWrap w:val="false"/>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金坛区主承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10.49%</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第五分包</w:t>
            </w:r>
            <w:r>
              <w:rPr>
                <w:rFonts w:ascii="仿宋" w:hAnsi="仿宋" w:eastAsia="仿宋" w:cs="仿宋"/>
                <w:color w:val="000000"/>
                <w:sz w:val="24"/>
              </w:rPr>
            </w:r>
            <w:r/>
          </w:p>
        </w:tc>
        <w:tc>
          <w:tcPr>
            <w:tcW w:w="1689"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市本级次承</w:t>
            </w:r>
            <w:r>
              <w:rPr>
                <w:rFonts w:ascii="仿宋" w:hAnsi="仿宋" w:eastAsia="仿宋" w:cs="仿宋"/>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7%</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第六分包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武进区次承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3.5%</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第七分包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溧阳市次承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2%</w:t>
            </w:r>
            <w:r>
              <w:rPr>
                <w:rFonts w:ascii="仿宋" w:hAnsi="仿宋" w:eastAsia="仿宋" w:cs="仿宋"/>
                <w:color w:val="000000"/>
                <w:sz w:val="24"/>
              </w:rPr>
            </w:r>
            <w:r/>
          </w:p>
        </w:tc>
      </w:tr>
      <w:tr>
        <w:trPr>
          <w:trHeight w:val="315"/>
        </w:trPr>
        <w:tc>
          <w:tcPr>
            <w:tcW w:w="1333"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第八分包</w:t>
            </w:r>
            <w:r>
              <w:rPr>
                <w:rFonts w:ascii="仿宋" w:hAnsi="仿宋" w:eastAsia="仿宋" w:cs="仿宋"/>
                <w:b/>
                <w:bCs/>
                <w:color w:val="000000"/>
                <w:sz w:val="24"/>
              </w:rPr>
            </w:r>
            <w:r/>
          </w:p>
        </w:tc>
        <w:tc>
          <w:tcPr>
            <w:tcW w:w="1689"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color w:val="000000"/>
                <w:sz w:val="24"/>
              </w:rPr>
              <w:t xml:space="preserve">金坛区次承</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2%</w:t>
            </w:r>
            <w:r>
              <w:rPr>
                <w:rFonts w:ascii="仿宋" w:hAnsi="仿宋" w:eastAsia="仿宋" w:cs="仿宋"/>
                <w:color w:val="000000"/>
                <w:sz w:val="24"/>
              </w:rPr>
            </w:r>
            <w:r/>
          </w:p>
        </w:tc>
      </w:tr>
      <w:tr>
        <w:trPr>
          <w:trHeight w:val="315"/>
        </w:trPr>
        <w:tc>
          <w:tcPr>
            <w:gridSpan w:val="2"/>
            <w:tcW w:w="3022" w:type="pct"/>
            <w:vAlign w:val="center"/>
            <w:textDirection w:val="lrTb"/>
            <w:noWrap/>
          </w:tcPr>
          <w:p>
            <w:pPr>
              <w:pStyle w:val="982"/>
              <w:jc w:val="center"/>
              <w:widowControl/>
              <w:rPr>
                <w:rFonts w:ascii="仿宋" w:hAnsi="仿宋" w:eastAsia="仿宋" w:cs="仿宋"/>
                <w:b/>
                <w:bCs/>
                <w:color w:val="000000"/>
                <w:sz w:val="24"/>
              </w:rPr>
              <w:framePr w:hSpace="180" w:wrap="around" w:vAnchor="text" w:hAnchor="page" w:xAlign="center" w:y="301"/>
            </w:pPr>
            <w:r>
              <w:rPr>
                <w:rFonts w:hint="eastAsia" w:ascii="仿宋" w:hAnsi="仿宋" w:eastAsia="仿宋" w:cs="仿宋"/>
                <w:b/>
                <w:bCs/>
                <w:color w:val="000000"/>
                <w:sz w:val="24"/>
              </w:rPr>
              <w:t xml:space="preserve">合计：</w:t>
            </w:r>
            <w:r>
              <w:rPr>
                <w:rFonts w:ascii="仿宋" w:hAnsi="仿宋" w:eastAsia="仿宋" w:cs="仿宋"/>
                <w:b/>
                <w:bCs/>
                <w:color w:val="000000"/>
                <w:sz w:val="24"/>
              </w:rPr>
            </w:r>
            <w:r/>
          </w:p>
        </w:tc>
        <w:tc>
          <w:tcPr>
            <w:tcW w:w="1978" w:type="pct"/>
            <w:vAlign w:val="center"/>
            <w:textDirection w:val="lrTb"/>
            <w:noWrap/>
          </w:tcPr>
          <w:p>
            <w:pPr>
              <w:pStyle w:val="982"/>
              <w:jc w:val="center"/>
              <w:widowControl/>
              <w:rPr>
                <w:rFonts w:ascii="仿宋" w:hAnsi="仿宋" w:eastAsia="仿宋" w:cs="仿宋"/>
                <w:color w:val="000000"/>
                <w:sz w:val="24"/>
              </w:rPr>
              <w:framePr w:hSpace="180" w:wrap="around" w:vAnchor="text" w:hAnchor="page" w:xAlign="center" w:y="301"/>
            </w:pPr>
            <w:r>
              <w:rPr>
                <w:rFonts w:hint="eastAsia" w:ascii="仿宋" w:hAnsi="仿宋" w:eastAsia="仿宋" w:cs="仿宋"/>
                <w:color w:val="000000"/>
                <w:sz w:val="24"/>
              </w:rPr>
              <w:t xml:space="preserve">100%</w:t>
            </w:r>
            <w:r>
              <w:rPr>
                <w:rFonts w:ascii="仿宋" w:hAnsi="仿宋" w:eastAsia="仿宋" w:cs="仿宋"/>
                <w:color w:val="000000"/>
                <w:sz w:val="24"/>
              </w:rPr>
            </w:r>
            <w:r/>
          </w:p>
        </w:tc>
      </w:tr>
    </w:tbl>
    <w:p>
      <w:pPr>
        <w:pStyle w:val="982"/>
        <w:spacing w:line="460" w:lineRule="exact"/>
        <w:rPr>
          <w:rFonts w:ascii="宋体" w:hAnsi="宋体"/>
          <w:bCs/>
          <w:sz w:val="24"/>
        </w:rPr>
      </w:pPr>
      <w:r>
        <w:rPr>
          <w:rFonts w:ascii="宋体" w:hAnsi="宋体"/>
          <w:bCs/>
          <w:sz w:val="24"/>
        </w:rPr>
      </w:r>
      <w:r/>
    </w:p>
    <w:p>
      <w:pPr>
        <w:pStyle w:val="982"/>
        <w:spacing w:line="460" w:lineRule="exact"/>
        <w:rPr>
          <w:rFonts w:ascii="宋体" w:hAnsi="宋体"/>
          <w:bCs/>
          <w:sz w:val="24"/>
        </w:rPr>
      </w:pPr>
      <w:r>
        <w:rPr>
          <w:rFonts w:ascii="宋体" w:hAnsi="宋体"/>
          <w:bCs/>
          <w:sz w:val="24"/>
        </w:rPr>
      </w:r>
      <w:r/>
    </w:p>
    <w:p>
      <w:pPr>
        <w:pStyle w:val="995"/>
      </w:pPr>
      <w:r/>
      <w:r/>
    </w:p>
    <w:p>
      <w:pPr>
        <w:pStyle w:val="995"/>
      </w:pPr>
      <w:r/>
      <w:r/>
    </w:p>
    <w:p>
      <w:pPr>
        <w:pStyle w:val="995"/>
      </w:pPr>
      <w:r/>
      <w:r/>
    </w:p>
    <w:p>
      <w:pPr>
        <w:pStyle w:val="995"/>
      </w:pPr>
      <w:r/>
      <w:r/>
    </w:p>
    <w:p>
      <w:pPr>
        <w:pStyle w:val="995"/>
      </w:pPr>
      <w:r/>
      <w:r/>
    </w:p>
    <w:p>
      <w:pPr>
        <w:pStyle w:val="995"/>
      </w:pPr>
      <w:r/>
      <w:r/>
    </w:p>
    <w:p>
      <w:pPr>
        <w:pStyle w:val="982"/>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982"/>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ascii="宋体" w:hAnsi="宋体"/>
          <w:b/>
          <w:sz w:val="24"/>
          <w:szCs w:val="24"/>
        </w:rPr>
      </w:r>
      <w:r/>
    </w:p>
    <w:p>
      <w:pPr>
        <w:pStyle w:val="98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技术要求</w:t>
            </w:r>
            <w:r>
              <w:rPr>
                <w:rFonts w:hint="eastAsia" w:ascii="宋体" w:hAnsi="宋体" w:cs="宋体"/>
                <w:color w:val="000000"/>
              </w:rPr>
              <w:t xml:space="preserve">响应及偏离表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w:t>
            </w:r>
            <w:r>
              <w:rPr>
                <w:rFonts w:hint="eastAsia" w:ascii="宋体" w:hAnsi="宋体" w:cs="宋体"/>
                <w:color w:val="000000"/>
              </w:rPr>
              <w:t xml:space="preserve">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1839"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w:t>
            </w:r>
            <w:r>
              <w:rPr>
                <w:rFonts w:hint="eastAsia" w:ascii="宋体" w:hAnsi="宋体" w:cs="宋体"/>
                <w:color w:val="000000"/>
              </w:rPr>
              <w:t xml:space="preserve">无需提供。</w:t>
            </w:r>
            <w:r>
              <w:rPr>
                <w:rFonts w:ascii="宋体" w:hAnsi="宋体" w:cs="宋体"/>
                <w:color w:val="000000"/>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rPr>
              <w:t xml:space="preserve">　</w:t>
            </w:r>
            <w:r/>
          </w:p>
          <w:p>
            <w:pPr>
              <w:pStyle w:val="982"/>
              <w:rPr>
                <w:rFonts w:hint="eastAsia" w:ascii="宋体" w:hAnsi="宋体" w:cs="宋体"/>
              </w:rPr>
            </w:pPr>
            <w:r>
              <w:rPr>
                <w:rFonts w:hint="eastAsia" w:ascii="宋体" w:hAnsi="宋体" w:cs="宋体"/>
              </w:rPr>
            </w:r>
            <w:r/>
          </w:p>
          <w:p>
            <w:pPr>
              <w:pStyle w:val="982"/>
              <w:rPr>
                <w:rFonts w:ascii="宋体" w:hAnsi="宋体" w:cs="宋体"/>
              </w:rPr>
            </w:pPr>
            <w:r>
              <w:rPr>
                <w:rFonts w:ascii="宋体" w:hAnsi="宋体" w:cs="宋体"/>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w:t>
            </w:r>
            <w:r>
              <w:rPr>
                <w:rFonts w:ascii="宋体" w:hAnsi="宋体" w:cs="宋体"/>
                <w:color w:val="000000"/>
              </w:rPr>
            </w:r>
            <w:r/>
          </w:p>
        </w:tc>
      </w:tr>
      <w:tr>
        <w:trPr>
          <w:trHeight w:val="108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w:t>
            </w:r>
            <w:r>
              <w:rPr>
                <w:rFonts w:hint="eastAsia" w:ascii="宋体" w:hAnsi="宋体" w:cs="宋体"/>
                <w:color w:val="000000"/>
              </w:rPr>
              <w:t xml:space="preserve">提供材料，报价合理的予以通过。根据苏财购〔2025〕62号文件规定，评审中出现下列情形之一的，评标委员会（评审小组）应当启动异常低价投标（响应）审查程序：1）投标（响应）报价低于采购项目预算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w:t>
            </w:r>
            <w:r>
              <w:rPr>
                <w:rFonts w:hint="eastAsia" w:ascii="宋体" w:hAnsi="宋体" w:cs="宋体"/>
                <w:color w:val="000000"/>
              </w:rPr>
              <w:t xml:space="preserve">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w:t>
            </w:r>
            <w:r>
              <w:rPr>
                <w:rFonts w:hint="eastAsia" w:ascii="宋体" w:hAnsi="宋体" w:cs="宋体"/>
                <w:color w:val="000000"/>
              </w:rPr>
              <w:t xml:space="preserve">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w:t>
            </w:r>
            <w:r>
              <w:rPr>
                <w:rFonts w:hint="eastAsia" w:ascii="宋体" w:hAnsi="宋体" w:cs="宋体"/>
                <w:color w:val="000000"/>
              </w:rPr>
              <w:t xml:space="preserve">定的其他无效情形。</w:t>
            </w:r>
            <w:r>
              <w:rPr>
                <w:rFonts w:ascii="宋体" w:hAnsi="宋体" w:cs="宋体"/>
                <w:color w:val="000000"/>
              </w:rPr>
            </w:r>
            <w:r/>
          </w:p>
        </w:tc>
      </w:tr>
      <w:tr>
        <w:trPr>
          <w:trHeight w:val="108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8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采购文件获取日</w:t>
      </w:r>
      <w:r>
        <w:rPr>
          <w:rFonts w:hint="eastAsia" w:ascii="宋体" w:hAnsi="宋体" w:cs="仿宋"/>
          <w:sz w:val="24"/>
          <w:szCs w:val="24"/>
        </w:rPr>
        <w:t xml:space="preserve">期：</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8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8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9"/>
        <w:rPr>
          <w:rFonts w:hint="eastAsia"/>
          <w:sz w:val="24"/>
          <w:szCs w:val="24"/>
        </w:rPr>
      </w:pPr>
      <w:r>
        <w:rPr>
          <w:rFonts w:hint="eastAsia"/>
          <w:sz w:val="24"/>
          <w:szCs w:val="24"/>
        </w:rPr>
      </w:r>
      <w:r/>
    </w:p>
    <w:p>
      <w:pPr>
        <w:pStyle w:val="999"/>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lear" w:pos="4153" w:leader="none"/>
        <w:tab w:val="left" w:pos="7119" w:leader="none"/>
        <w:tab w:val="clear"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- 2 -</w:t>
                          </w:r>
                          <w:r>
                            <w:fldChar w:fldCharType="end"/>
                          </w:r>
                          <w:r/>
                        </w:p>
                        <w:p>
                          <w:pPr>
                            <w:pStyle w:val="98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- 2 -</w:t>
                    </w:r>
                    <w:r>
                      <w:fldChar w:fldCharType="end"/>
                    </w:r>
                    <w:r/>
                  </w:p>
                  <w:p>
                    <w:pPr>
                      <w:pStyle w:val="982"/>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- 1 -</w:t>
                          </w:r>
                          <w:r>
                            <w:fldChar w:fldCharType="end"/>
                          </w:r>
                          <w:r/>
                        </w:p>
                        <w:p>
                          <w:pPr>
                            <w:pStyle w:val="98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- 1 -</w:t>
                    </w:r>
                    <w:r>
                      <w:fldChar w:fldCharType="end"/>
                    </w:r>
                    <w:r/>
                  </w:p>
                  <w:p>
                    <w:pPr>
                      <w:pStyle w:val="9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9146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1465" cy="131445"/>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- 34 -</w:t>
                          </w:r>
                          <w:r>
                            <w:fldChar w:fldCharType="end"/>
                          </w:r>
                          <w:r/>
                        </w:p>
                        <w:p>
                          <w:pPr>
                            <w:pStyle w:val="982"/>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2.9pt;height:10.3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- 34 -</w:t>
                    </w:r>
                    <w:r>
                      <w:fldChar w:fldCharType="end"/>
                    </w:r>
                    <w:r/>
                  </w:p>
                  <w:p>
                    <w:pPr>
                      <w:pStyle w:val="982"/>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rPr>
        <w:rStyle w:val="1057"/>
      </w:rPr>
    </w:r>
    <w:r/>
  </w:p>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3"/>
      <w:isLgl w:val="false"/>
      <w:suff w:val="tab"/>
      <w:lvlText w:val="附录%1."/>
      <w:lvlJc w:val="left"/>
      <w:pPr>
        <w:pStyle w:val="9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82"/>
        <w:ind w:left="500" w:hanging="500"/>
      </w:p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2">
    <w:multiLevelType w:val="hybridMultilevel"/>
    <w:lvl w:ilvl="0">
      <w:start w:val="2"/>
      <w:numFmt w:val="chineseCounting"/>
      <w:isLgl w:val="false"/>
      <w:suff w:val="nothing"/>
      <w:lvlText w:val="（%1）"/>
      <w:lvlJc w:val="left"/>
      <w:pPr>
        <w:pStyle w:val="982"/>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1"/>
      <w:isLgl w:val="false"/>
      <w:suff w:val="tab"/>
      <w:lvlText w:val="%1."/>
      <w:lvlJc w:val="left"/>
      <w:pPr>
        <w:pStyle w:val="982"/>
        <w:ind w:left="709" w:hanging="709"/>
        <w:tabs>
          <w:tab w:val="num" w:pos="709" w:leader="none"/>
        </w:tabs>
      </w:pPr>
      <w:rPr>
        <w:rFonts w:hint="eastAsia"/>
      </w:rPr>
    </w:lvl>
    <w:lvl w:ilvl="1">
      <w:start w:val="1"/>
      <w:numFmt w:val="decimal"/>
      <w:isLgl w:val="false"/>
      <w:suff w:val="tab"/>
      <w:lvlText w:val="%1.%2"/>
      <w:lvlJc w:val="left"/>
      <w:pPr>
        <w:pStyle w:val="982"/>
        <w:ind w:left="709" w:hanging="709"/>
        <w:tabs>
          <w:tab w:val="num" w:pos="709" w:leader="none"/>
        </w:tabs>
      </w:pPr>
      <w:rPr>
        <w:rFonts w:hint="eastAsia"/>
      </w:rPr>
    </w:lvl>
    <w:lvl w:ilvl="2">
      <w:start w:val="1"/>
      <w:numFmt w:val="decimal"/>
      <w:isLgl w:val="false"/>
      <w:suff w:val="tab"/>
      <w:lvlText w:val="%1.%2.%3."/>
      <w:lvlJc w:val="left"/>
      <w:pPr>
        <w:pStyle w:val="982"/>
        <w:ind w:left="425" w:hanging="425"/>
        <w:tabs>
          <w:tab w:val="num" w:pos="425" w:leader="none"/>
        </w:tabs>
      </w:pPr>
      <w:rPr>
        <w:rFonts w:hint="eastAsia"/>
      </w:rPr>
    </w:lvl>
    <w:lvl w:ilvl="3">
      <w:start w:val="1"/>
      <w:numFmt w:val="decimal"/>
      <w:isLgl w:val="false"/>
      <w:suff w:val="tab"/>
      <w:lvlText w:val="%1.%2.%3.%4."/>
      <w:lvlJc w:val="left"/>
      <w:pPr>
        <w:pStyle w:val="982"/>
        <w:ind w:left="851" w:hanging="851"/>
        <w:tabs>
          <w:tab w:val="num" w:pos="851" w:leader="none"/>
        </w:tabs>
      </w:pPr>
      <w:rPr>
        <w:rFonts w:hint="eastAsia"/>
      </w:rPr>
    </w:lvl>
    <w:lvl w:ilvl="4">
      <w:start w:val="1"/>
      <w:numFmt w:val="decimal"/>
      <w:isLgl w:val="false"/>
      <w:suff w:val="tab"/>
      <w:lvlText w:val="%1.%2.%3.%4.%5."/>
      <w:lvlJc w:val="left"/>
      <w:pPr>
        <w:pStyle w:val="982"/>
        <w:ind w:left="992" w:hanging="992"/>
        <w:tabs>
          <w:tab w:val="num" w:pos="992" w:leader="none"/>
        </w:tabs>
      </w:pPr>
      <w:rPr>
        <w:rFonts w:hint="eastAsia"/>
      </w:rPr>
    </w:lvl>
    <w:lvl w:ilvl="5">
      <w:start w:val="1"/>
      <w:numFmt w:val="decimal"/>
      <w:isLgl w:val="false"/>
      <w:suff w:val="tab"/>
      <w:lvlText w:val="%1.%2.%3.%4.%5.%6."/>
      <w:lvlJc w:val="left"/>
      <w:pPr>
        <w:pStyle w:val="982"/>
        <w:ind w:left="1134" w:hanging="1134"/>
        <w:tabs>
          <w:tab w:val="num" w:pos="1134" w:leader="none"/>
        </w:tabs>
      </w:pPr>
      <w:rPr>
        <w:rFonts w:hint="eastAsia"/>
      </w:rPr>
    </w:lvl>
    <w:lvl w:ilvl="6">
      <w:start w:val="1"/>
      <w:numFmt w:val="decimal"/>
      <w:isLgl w:val="false"/>
      <w:suff w:val="tab"/>
      <w:lvlText w:val="%1.%2.%3.%4.%5.%6.%7."/>
      <w:lvlJc w:val="left"/>
      <w:pPr>
        <w:pStyle w:val="982"/>
        <w:ind w:left="1276" w:hanging="1276"/>
        <w:tabs>
          <w:tab w:val="num" w:pos="1276" w:leader="none"/>
        </w:tabs>
      </w:pPr>
      <w:rPr>
        <w:rFonts w:hint="eastAsia"/>
      </w:rPr>
    </w:lvl>
    <w:lvl w:ilvl="7">
      <w:start w:val="1"/>
      <w:numFmt w:val="decimal"/>
      <w:isLgl w:val="false"/>
      <w:suff w:val="tab"/>
      <w:lvlText w:val="%1.%2.%3.%4.%5.%6.%7.%8."/>
      <w:lvlJc w:val="left"/>
      <w:pPr>
        <w:pStyle w:val="982"/>
        <w:ind w:left="1418" w:hanging="1418"/>
        <w:tabs>
          <w:tab w:val="num" w:pos="1418" w:leader="none"/>
        </w:tabs>
      </w:pPr>
      <w:rPr>
        <w:rFonts w:hint="eastAsia"/>
      </w:rPr>
    </w:lvl>
    <w:lvl w:ilvl="8">
      <w:start w:val="1"/>
      <w:numFmt w:val="decimal"/>
      <w:isLgl w:val="false"/>
      <w:suff w:val="tab"/>
      <w:lvlText w:val="%1.%2.%3.%4.%5.%6.%7.%8.%9."/>
      <w:lvlJc w:val="left"/>
      <w:pPr>
        <w:pStyle w:val="982"/>
        <w:ind w:left="1559" w:hanging="1559"/>
        <w:tabs>
          <w:tab w:val="num" w:pos="1559" w:leader="none"/>
        </w:tabs>
      </w:pPr>
      <w:rPr>
        <w:rFonts w:hint="eastAsia"/>
      </w:rPr>
    </w:lvl>
  </w:abstractNum>
  <w:abstractNum w:abstractNumId="4">
    <w:multiLevelType w:val="hybridMultilevel"/>
    <w:lvl w:ilvl="0">
      <w:start w:val="8"/>
      <w:numFmt w:val="chineseCounting"/>
      <w:isLgl w:val="false"/>
      <w:suff w:val="space"/>
      <w:lvlText w:val="第%1条"/>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82"/>
        <w:ind w:left="0" w:firstLine="0"/>
      </w:pPr>
      <w:rPr>
        <w:rFonts w:hint="eastAsia"/>
      </w:rPr>
    </w:lvl>
    <w:lvl w:ilvl="1">
      <w:start w:val="1"/>
      <w:numFmt w:val="decimal"/>
      <w:isLgl w:val="false"/>
      <w:suff w:val="nothing"/>
      <w:lvlText w:val="%2、"/>
      <w:lvlJc w:val="left"/>
      <w:pPr>
        <w:pStyle w:val="982"/>
        <w:ind w:left="0" w:firstLine="0"/>
      </w:pPr>
      <w:rPr>
        <w:rFonts w:hint="eastAsia"/>
      </w:rPr>
    </w:lvl>
    <w:lvl w:ilvl="2">
      <w:start w:val="1"/>
      <w:numFmt w:val="decimal"/>
      <w:isLgl w:val="false"/>
      <w:suff w:val="nothing"/>
      <w:lvlText w:val="%2.%3 "/>
      <w:lvlJc w:val="left"/>
      <w:pPr>
        <w:pStyle w:val="982"/>
        <w:ind w:left="0" w:firstLine="0"/>
      </w:pPr>
      <w:rPr>
        <w:rFonts w:hint="eastAsia"/>
      </w:rPr>
    </w:lvl>
    <w:lvl w:ilvl="3">
      <w:start w:val="1"/>
      <w:numFmt w:val="decimal"/>
      <w:isLgl w:val="false"/>
      <w:suff w:val="nothing"/>
      <w:lvlText w:val="%2.%3.%4 "/>
      <w:lvlJc w:val="left"/>
      <w:pPr>
        <w:pStyle w:val="982"/>
        <w:ind w:left="0" w:firstLine="0"/>
      </w:pPr>
      <w:rPr>
        <w:rFonts w:hint="eastAsia"/>
      </w:rPr>
    </w:lvl>
    <w:lvl w:ilvl="4">
      <w:start w:val="1"/>
      <w:numFmt w:val="decimal"/>
      <w:isLgl w:val="false"/>
      <w:suff w:val="nothing"/>
      <w:lvlText w:val="%2.%3.%4.%5 "/>
      <w:lvlJc w:val="left"/>
      <w:pPr>
        <w:pStyle w:val="982"/>
        <w:ind w:left="0" w:firstLine="0"/>
      </w:pPr>
      <w:rPr>
        <w:rFonts w:hint="eastAsia"/>
      </w:rPr>
    </w:lvl>
    <w:lvl w:ilvl="5">
      <w:start w:val="1"/>
      <w:numFmt w:val="decimal"/>
      <w:pStyle w:val="988"/>
      <w:isLgl w:val="false"/>
      <w:suff w:val="nothing"/>
      <w:lvlText w:val=""/>
      <w:lvlJc w:val="left"/>
      <w:pPr>
        <w:pStyle w:val="982"/>
        <w:ind w:left="0" w:firstLine="0"/>
      </w:pPr>
      <w:rPr>
        <w:rFonts w:hint="eastAsia"/>
      </w:rPr>
    </w:lvl>
    <w:lvl w:ilvl="6">
      <w:start w:val="1"/>
      <w:numFmt w:val="decimal"/>
      <w:pStyle w:val="989"/>
      <w:isLgl w:val="false"/>
      <w:suff w:val="nothing"/>
      <w:lvlText w:val=""/>
      <w:lvlJc w:val="left"/>
      <w:pPr>
        <w:pStyle w:val="982"/>
        <w:ind w:left="0" w:firstLine="0"/>
      </w:pPr>
      <w:rPr>
        <w:rFonts w:hint="eastAsia"/>
      </w:rPr>
    </w:lvl>
    <w:lvl w:ilvl="7">
      <w:start w:val="1"/>
      <w:numFmt w:val="decimal"/>
      <w:pStyle w:val="990"/>
      <w:isLgl w:val="false"/>
      <w:suff w:val="nothing"/>
      <w:lvlText w:val=""/>
      <w:lvlJc w:val="left"/>
      <w:pPr>
        <w:pStyle w:val="982"/>
        <w:ind w:left="0" w:firstLine="0"/>
      </w:pPr>
      <w:rPr>
        <w:rFonts w:hint="eastAsia"/>
      </w:rPr>
    </w:lvl>
    <w:lvl w:ilvl="8">
      <w:start w:val="1"/>
      <w:numFmt w:val="decimal"/>
      <w:pStyle w:val="991"/>
      <w:isLgl w:val="false"/>
      <w:suff w:val="nothing"/>
      <w:lvlText w:val=""/>
      <w:lvlJc w:val="left"/>
      <w:pPr>
        <w:pStyle w:val="982"/>
        <w:ind w:left="0" w:firstLine="0"/>
      </w:pPr>
      <w:rPr>
        <w:rFonts w:hint="eastAsia"/>
      </w:rPr>
    </w:lvl>
  </w:abstractNum>
  <w:abstractNum w:abstractNumId="6">
    <w:multiLevelType w:val="hybridMultilevel"/>
    <w:lvl w:ilvl="0">
      <w:start w:val="3"/>
      <w:numFmt w:val="decimal"/>
      <w:isLgl w:val="false"/>
      <w:suff w:val="tab"/>
      <w:lvlText w:val="%1."/>
      <w:lvlJc w:val="left"/>
      <w:pPr>
        <w:pStyle w:val="9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2"/>
    <w:next w:val="982"/>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2"/>
    <w:next w:val="982"/>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2"/>
    <w:next w:val="982"/>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2"/>
    <w:next w:val="982"/>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2"/>
    <w:next w:val="982"/>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2"/>
    <w:next w:val="982"/>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2"/>
    <w:next w:val="982"/>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2"/>
    <w:next w:val="982"/>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82"/>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82"/>
    <w:next w:val="982"/>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82"/>
    <w:next w:val="982"/>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82"/>
    <w:next w:val="982"/>
    <w:link w:val="838"/>
    <w:uiPriority w:val="29"/>
    <w:qFormat/>
    <w:pPr>
      <w:ind w:left="720" w:right="720"/>
    </w:pPr>
    <w:rPr>
      <w:i/>
    </w:rPr>
  </w:style>
  <w:style w:type="character" w:styleId="838">
    <w:name w:val="Quote Char"/>
    <w:link w:val="837"/>
    <w:uiPriority w:val="29"/>
    <w:rPr>
      <w:i/>
    </w:rPr>
  </w:style>
  <w:style w:type="paragraph" w:styleId="839">
    <w:name w:val="Intense Quote"/>
    <w:basedOn w:val="982"/>
    <w:next w:val="98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82"/>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82"/>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82"/>
    <w:next w:val="982"/>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82"/>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82"/>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95"/>
    <w:link w:val="982"/>
    <w:qFormat/>
    <w:pPr>
      <w:jc w:val="both"/>
      <w:widowControl w:val="off"/>
    </w:pPr>
    <w:rPr>
      <w:rFonts w:ascii="Times New Roman" w:hAnsi="Times New Roman"/>
      <w:sz w:val="21"/>
      <w:szCs w:val="21"/>
      <w:lang w:val="en-US" w:eastAsia="zh-CN" w:bidi="ar-SA"/>
    </w:rPr>
  </w:style>
  <w:style w:type="paragraph" w:styleId="983">
    <w:name w:val="标题 1"/>
    <w:basedOn w:val="982"/>
    <w:next w:val="982"/>
    <w:link w:val="997"/>
    <w:qFormat/>
    <w:pPr>
      <w:jc w:val="center"/>
      <w:keepNext/>
      <w:outlineLvl w:val="0"/>
    </w:pPr>
    <w:rPr>
      <w:rFonts w:ascii="楷体_GB2312" w:eastAsia="楷体_GB2312"/>
      <w:sz w:val="28"/>
      <w:szCs w:val="28"/>
    </w:rPr>
  </w:style>
  <w:style w:type="paragraph" w:styleId="984">
    <w:name w:val="标题 2"/>
    <w:basedOn w:val="982"/>
    <w:next w:val="999"/>
    <w:link w:val="998"/>
    <w:qFormat/>
    <w:pPr>
      <w:jc w:val="center"/>
      <w:keepLines/>
      <w:keepNext/>
      <w:spacing w:before="260" w:after="260" w:line="416" w:lineRule="auto"/>
      <w:outlineLvl w:val="1"/>
    </w:pPr>
    <w:rPr>
      <w:rFonts w:ascii="Arial" w:hAnsi="Arial" w:eastAsia="幼圆" w:cs="Arial"/>
      <w:b/>
      <w:bCs/>
      <w:sz w:val="44"/>
      <w:szCs w:val="44"/>
    </w:rPr>
  </w:style>
  <w:style w:type="paragraph" w:styleId="985">
    <w:name w:val="标题 3"/>
    <w:basedOn w:val="982"/>
    <w:next w:val="999"/>
    <w:link w:val="1001"/>
    <w:qFormat/>
    <w:pPr>
      <w:keepLines/>
      <w:keepNext/>
      <w:spacing w:before="260" w:after="260" w:line="416" w:lineRule="auto"/>
      <w:outlineLvl w:val="2"/>
    </w:pPr>
    <w:rPr>
      <w:b/>
      <w:bCs/>
      <w:sz w:val="32"/>
      <w:szCs w:val="32"/>
    </w:rPr>
  </w:style>
  <w:style w:type="paragraph" w:styleId="986">
    <w:name w:val="标题 4"/>
    <w:basedOn w:val="982"/>
    <w:next w:val="999"/>
    <w:link w:val="1002"/>
    <w:qFormat/>
    <w:pPr>
      <w:keepLines/>
      <w:keepNext/>
      <w:spacing w:before="280" w:after="290" w:line="376" w:lineRule="auto"/>
      <w:outlineLvl w:val="3"/>
    </w:pPr>
    <w:rPr>
      <w:rFonts w:ascii="Arial" w:hAnsi="Arial" w:eastAsia="黑体" w:cs="Arial"/>
      <w:b/>
      <w:bCs/>
      <w:sz w:val="28"/>
      <w:szCs w:val="28"/>
    </w:rPr>
  </w:style>
  <w:style w:type="paragraph" w:styleId="987">
    <w:name w:val="标题 5"/>
    <w:basedOn w:val="982"/>
    <w:next w:val="999"/>
    <w:link w:val="1003"/>
    <w:qFormat/>
    <w:pPr>
      <w:keepNext/>
      <w:outlineLvl w:val="4"/>
    </w:pPr>
    <w:rPr>
      <w:rFonts w:ascii="宋体"/>
      <w:color w:val="000000"/>
      <w:sz w:val="28"/>
      <w:szCs w:val="28"/>
    </w:rPr>
  </w:style>
  <w:style w:type="paragraph" w:styleId="988">
    <w:name w:val="标题 6"/>
    <w:basedOn w:val="982"/>
    <w:next w:val="982"/>
    <w:link w:val="1004"/>
    <w:qFormat/>
    <w:pPr>
      <w:numPr>
        <w:ilvl w:val="5"/>
        <w:numId w:val="1"/>
      </w:numPr>
      <w:keepLines/>
      <w:keepNext/>
      <w:spacing w:before="240" w:after="64" w:line="320" w:lineRule="auto"/>
      <w:outlineLvl w:val="5"/>
    </w:pPr>
    <w:rPr>
      <w:rFonts w:ascii="Arial" w:hAnsi="Arial" w:eastAsia="黑体"/>
      <w:b/>
      <w:bCs/>
      <w:sz w:val="24"/>
      <w:szCs w:val="24"/>
    </w:rPr>
  </w:style>
  <w:style w:type="paragraph" w:styleId="989">
    <w:name w:val="标题 7"/>
    <w:basedOn w:val="982"/>
    <w:next w:val="982"/>
    <w:link w:val="1005"/>
    <w:qFormat/>
    <w:pPr>
      <w:numPr>
        <w:ilvl w:val="6"/>
        <w:numId w:val="1"/>
      </w:numPr>
      <w:keepLines/>
      <w:keepNext/>
      <w:spacing w:before="240" w:after="64" w:line="320" w:lineRule="auto"/>
      <w:outlineLvl w:val="6"/>
    </w:pPr>
    <w:rPr>
      <w:b/>
      <w:bCs/>
      <w:sz w:val="24"/>
      <w:szCs w:val="24"/>
    </w:rPr>
  </w:style>
  <w:style w:type="paragraph" w:styleId="990">
    <w:name w:val="标题 8"/>
    <w:basedOn w:val="982"/>
    <w:next w:val="982"/>
    <w:link w:val="1006"/>
    <w:qFormat/>
    <w:pPr>
      <w:numPr>
        <w:ilvl w:val="7"/>
        <w:numId w:val="1"/>
      </w:numPr>
      <w:keepLines/>
      <w:keepNext/>
      <w:spacing w:before="240" w:after="64" w:line="320" w:lineRule="auto"/>
      <w:outlineLvl w:val="7"/>
    </w:pPr>
    <w:rPr>
      <w:rFonts w:ascii="Arial" w:hAnsi="Arial" w:eastAsia="黑体"/>
      <w:sz w:val="24"/>
      <w:szCs w:val="24"/>
    </w:rPr>
  </w:style>
  <w:style w:type="paragraph" w:styleId="991">
    <w:name w:val="标题 9"/>
    <w:basedOn w:val="982"/>
    <w:next w:val="982"/>
    <w:link w:val="1007"/>
    <w:qFormat/>
    <w:pPr>
      <w:numPr>
        <w:ilvl w:val="8"/>
        <w:numId w:val="1"/>
      </w:numPr>
      <w:keepLines/>
      <w:keepNext/>
      <w:spacing w:before="240" w:after="64" w:line="320" w:lineRule="auto"/>
      <w:outlineLvl w:val="8"/>
    </w:pPr>
    <w:rPr>
      <w:rFonts w:ascii="Arial" w:hAnsi="Arial" w:eastAsia="黑体"/>
    </w:rPr>
  </w:style>
  <w:style w:type="character" w:styleId="992">
    <w:name w:val="默认段落字体"/>
    <w:next w:val="992"/>
    <w:link w:val="982"/>
    <w:uiPriority w:val="1"/>
    <w:unhideWhenUsed/>
  </w:style>
  <w:style w:type="table" w:styleId="993">
    <w:name w:val="普通表格"/>
    <w:next w:val="993"/>
    <w:link w:val="982"/>
    <w:uiPriority w:val="99"/>
    <w:unhideWhenUsed/>
    <w:tblPr/>
  </w:style>
  <w:style w:type="numbering" w:styleId="994">
    <w:name w:val="无列表"/>
    <w:next w:val="994"/>
    <w:link w:val="982"/>
    <w:uiPriority w:val="99"/>
    <w:semiHidden/>
    <w:unhideWhenUsed/>
  </w:style>
  <w:style w:type="paragraph" w:styleId="995">
    <w:name w:val="纯文本"/>
    <w:basedOn w:val="982"/>
    <w:next w:val="995"/>
    <w:link w:val="996"/>
    <w:qFormat/>
    <w:rPr>
      <w:rFonts w:ascii="宋体" w:hAnsi="Courier New" w:cs="Courier New"/>
    </w:rPr>
  </w:style>
  <w:style w:type="character" w:styleId="996">
    <w:name w:val="纯文本 字符"/>
    <w:next w:val="996"/>
    <w:link w:val="995"/>
    <w:rPr>
      <w:rFonts w:ascii="宋体" w:hAnsi="Courier New" w:eastAsia="宋体" w:cs="Courier New"/>
      <w:szCs w:val="21"/>
    </w:rPr>
  </w:style>
  <w:style w:type="character" w:styleId="997">
    <w:name w:val="标题 1 字符"/>
    <w:next w:val="997"/>
    <w:link w:val="983"/>
    <w:rPr>
      <w:rFonts w:ascii="楷体_GB2312" w:hAnsi="Times New Roman" w:eastAsia="楷体_GB2312" w:cs="Times New Roman"/>
      <w:sz w:val="28"/>
      <w:szCs w:val="28"/>
    </w:rPr>
  </w:style>
  <w:style w:type="character" w:styleId="998">
    <w:name w:val="标题 2 字符"/>
    <w:next w:val="998"/>
    <w:link w:val="984"/>
    <w:rPr>
      <w:rFonts w:ascii="Arial" w:hAnsi="Arial" w:eastAsia="幼圆" w:cs="Arial"/>
      <w:b/>
      <w:bCs/>
      <w:sz w:val="44"/>
      <w:szCs w:val="44"/>
    </w:rPr>
  </w:style>
  <w:style w:type="paragraph" w:styleId="999">
    <w:name w:val="正文缩进"/>
    <w:basedOn w:val="982"/>
    <w:next w:val="999"/>
    <w:link w:val="1000"/>
    <w:uiPriority w:val="99"/>
    <w:pPr>
      <w:ind w:firstLine="420"/>
    </w:pPr>
  </w:style>
  <w:style w:type="character" w:styleId="1000">
    <w:name w:val="正文缩进 字符"/>
    <w:next w:val="1000"/>
    <w:link w:val="999"/>
    <w:qFormat/>
    <w:rPr>
      <w:rFonts w:ascii="Times New Roman" w:hAnsi="Times New Roman" w:eastAsia="宋体" w:cs="Times New Roman"/>
      <w:szCs w:val="21"/>
    </w:rPr>
  </w:style>
  <w:style w:type="character" w:styleId="1001">
    <w:name w:val="标题 3 字符"/>
    <w:next w:val="1001"/>
    <w:link w:val="985"/>
    <w:rPr>
      <w:rFonts w:ascii="Times New Roman" w:hAnsi="Times New Roman" w:eastAsia="宋体" w:cs="Times New Roman"/>
      <w:b/>
      <w:bCs/>
      <w:sz w:val="32"/>
      <w:szCs w:val="32"/>
    </w:rPr>
  </w:style>
  <w:style w:type="character" w:styleId="1002">
    <w:name w:val="标题 4 字符"/>
    <w:next w:val="1002"/>
    <w:link w:val="986"/>
    <w:rPr>
      <w:rFonts w:ascii="Arial" w:hAnsi="Arial" w:eastAsia="黑体" w:cs="Arial"/>
      <w:b/>
      <w:bCs/>
      <w:sz w:val="28"/>
      <w:szCs w:val="28"/>
    </w:rPr>
  </w:style>
  <w:style w:type="character" w:styleId="1003">
    <w:name w:val="标题 5 字符"/>
    <w:next w:val="1003"/>
    <w:link w:val="987"/>
    <w:rPr>
      <w:rFonts w:ascii="宋体" w:hAnsi="Times New Roman" w:eastAsia="宋体" w:cs="Times New Roman"/>
      <w:color w:val="000000"/>
      <w:sz w:val="28"/>
      <w:szCs w:val="28"/>
    </w:rPr>
  </w:style>
  <w:style w:type="character" w:styleId="1004">
    <w:name w:val="标题 6 字符"/>
    <w:next w:val="1004"/>
    <w:link w:val="988"/>
    <w:rPr>
      <w:rFonts w:ascii="Arial" w:hAnsi="Arial" w:eastAsia="黑体" w:cs="Times New Roman"/>
      <w:b/>
      <w:bCs/>
      <w:sz w:val="24"/>
      <w:szCs w:val="24"/>
    </w:rPr>
  </w:style>
  <w:style w:type="character" w:styleId="1005">
    <w:name w:val="标题 7 字符"/>
    <w:next w:val="1005"/>
    <w:link w:val="989"/>
    <w:rPr>
      <w:rFonts w:ascii="Times New Roman" w:hAnsi="Times New Roman" w:eastAsia="宋体" w:cs="Times New Roman"/>
      <w:b/>
      <w:bCs/>
      <w:sz w:val="24"/>
      <w:szCs w:val="24"/>
    </w:rPr>
  </w:style>
  <w:style w:type="character" w:styleId="1006">
    <w:name w:val="标题 8 字符"/>
    <w:next w:val="1006"/>
    <w:link w:val="990"/>
    <w:rPr>
      <w:rFonts w:ascii="Arial" w:hAnsi="Arial" w:eastAsia="黑体" w:cs="Times New Roman"/>
      <w:sz w:val="24"/>
      <w:szCs w:val="24"/>
    </w:rPr>
  </w:style>
  <w:style w:type="character" w:styleId="1007">
    <w:name w:val="标题 9 字符"/>
    <w:next w:val="1007"/>
    <w:link w:val="991"/>
    <w:rPr>
      <w:rFonts w:ascii="Arial" w:hAnsi="Arial" w:eastAsia="黑体" w:cs="Times New Roman"/>
      <w:szCs w:val="21"/>
    </w:rPr>
  </w:style>
  <w:style w:type="paragraph" w:styleId="1008">
    <w:name w:val="列表 3"/>
    <w:basedOn w:val="982"/>
    <w:next w:val="1008"/>
    <w:link w:val="982"/>
    <w:pPr>
      <w:ind w:left="100" w:hanging="200"/>
    </w:pPr>
  </w:style>
  <w:style w:type="paragraph" w:styleId="1009">
    <w:name w:val="toc 7"/>
    <w:basedOn w:val="982"/>
    <w:next w:val="982"/>
    <w:link w:val="982"/>
    <w:semiHidden/>
    <w:pPr>
      <w:ind w:left="1260"/>
      <w:jc w:val="left"/>
    </w:pPr>
  </w:style>
  <w:style w:type="paragraph" w:styleId="1010">
    <w:name w:val="文档结构图"/>
    <w:basedOn w:val="982"/>
    <w:next w:val="1010"/>
    <w:link w:val="1011"/>
    <w:semiHidden/>
    <w:pPr>
      <w:shd w:val="clear" w:color="auto" w:fill="000080"/>
    </w:pPr>
  </w:style>
  <w:style w:type="character" w:styleId="1011">
    <w:name w:val="文档结构图 字符"/>
    <w:next w:val="1011"/>
    <w:link w:val="1010"/>
    <w:semiHidden/>
    <w:rPr>
      <w:rFonts w:ascii="Times New Roman" w:hAnsi="Times New Roman" w:eastAsia="宋体" w:cs="Times New Roman"/>
      <w:szCs w:val="21"/>
      <w:shd w:val="clear" w:color="auto" w:fill="000080"/>
    </w:rPr>
  </w:style>
  <w:style w:type="paragraph" w:styleId="1012">
    <w:name w:val="批注文字"/>
    <w:basedOn w:val="982"/>
    <w:next w:val="1012"/>
    <w:link w:val="1013"/>
    <w:qFormat/>
    <w:pPr>
      <w:jc w:val="left"/>
    </w:pPr>
  </w:style>
  <w:style w:type="character" w:styleId="1013">
    <w:name w:val="批注文字 字符"/>
    <w:next w:val="1013"/>
    <w:link w:val="1012"/>
    <w:rPr>
      <w:rFonts w:ascii="Times New Roman" w:hAnsi="Times New Roman" w:eastAsia="宋体" w:cs="Times New Roman"/>
      <w:szCs w:val="21"/>
    </w:rPr>
  </w:style>
  <w:style w:type="paragraph" w:styleId="1014">
    <w:name w:val="正文文本 3"/>
    <w:basedOn w:val="982"/>
    <w:next w:val="1014"/>
    <w:link w:val="1015"/>
    <w:rPr>
      <w:rFonts w:ascii="仿宋_GB2312" w:hAnsi="Arial" w:eastAsia="仿宋_GB2312"/>
      <w:sz w:val="32"/>
      <w:szCs w:val="32"/>
    </w:rPr>
  </w:style>
  <w:style w:type="character" w:styleId="1015">
    <w:name w:val="正文文本 3 字符"/>
    <w:next w:val="1015"/>
    <w:link w:val="1014"/>
    <w:rPr>
      <w:rFonts w:ascii="仿宋_GB2312" w:hAnsi="Arial" w:eastAsia="仿宋_GB2312" w:cs="Times New Roman"/>
      <w:sz w:val="32"/>
      <w:szCs w:val="32"/>
    </w:rPr>
  </w:style>
  <w:style w:type="paragraph" w:styleId="1016">
    <w:name w:val="正文文本"/>
    <w:basedOn w:val="982"/>
    <w:next w:val="1016"/>
    <w:link w:val="1017"/>
    <w:rPr>
      <w:rFonts w:ascii="楷体_GB2312" w:hAnsi="Arial" w:eastAsia="楷体_GB2312"/>
      <w:sz w:val="28"/>
      <w:szCs w:val="28"/>
    </w:rPr>
  </w:style>
  <w:style w:type="character" w:styleId="1017">
    <w:name w:val="正文文本 字符"/>
    <w:next w:val="1017"/>
    <w:link w:val="1016"/>
    <w:rPr>
      <w:rFonts w:ascii="楷体_GB2312" w:hAnsi="Arial" w:eastAsia="楷体_GB2312" w:cs="Times New Roman"/>
      <w:sz w:val="28"/>
      <w:szCs w:val="28"/>
    </w:rPr>
  </w:style>
  <w:style w:type="paragraph" w:styleId="1018">
    <w:name w:val="正文文本缩进"/>
    <w:basedOn w:val="982"/>
    <w:next w:val="1018"/>
    <w:link w:val="1019"/>
    <w:pPr>
      <w:ind w:firstLine="645"/>
    </w:pPr>
    <w:rPr>
      <w:rFonts w:ascii="楷体_GB2312" w:eastAsia="楷体_GB2312"/>
      <w:sz w:val="32"/>
      <w:szCs w:val="32"/>
    </w:rPr>
  </w:style>
  <w:style w:type="character" w:styleId="1019">
    <w:name w:val="正文文本缩进 字符"/>
    <w:next w:val="1019"/>
    <w:link w:val="1018"/>
    <w:rPr>
      <w:rFonts w:ascii="楷体_GB2312" w:hAnsi="Times New Roman" w:eastAsia="楷体_GB2312" w:cs="Times New Roman"/>
      <w:sz w:val="32"/>
      <w:szCs w:val="32"/>
    </w:rPr>
  </w:style>
  <w:style w:type="paragraph" w:styleId="1020">
    <w:name w:val="列表 2"/>
    <w:basedOn w:val="982"/>
    <w:next w:val="1020"/>
    <w:link w:val="982"/>
    <w:pPr>
      <w:ind w:left="100" w:hanging="200"/>
    </w:pPr>
  </w:style>
  <w:style w:type="paragraph" w:styleId="1021">
    <w:name w:val="toc 5"/>
    <w:basedOn w:val="982"/>
    <w:next w:val="982"/>
    <w:link w:val="982"/>
    <w:semiHidden/>
    <w:pPr>
      <w:ind w:left="840"/>
      <w:jc w:val="left"/>
    </w:pPr>
  </w:style>
  <w:style w:type="paragraph" w:styleId="1022">
    <w:name w:val="toc 3"/>
    <w:basedOn w:val="982"/>
    <w:next w:val="982"/>
    <w:link w:val="982"/>
    <w:semiHidden/>
    <w:pPr>
      <w:ind w:left="420"/>
      <w:jc w:val="left"/>
    </w:pPr>
    <w:rPr>
      <w:i/>
      <w:iCs/>
      <w:szCs w:val="24"/>
    </w:rPr>
  </w:style>
  <w:style w:type="paragraph" w:styleId="1023">
    <w:name w:val="toc 8"/>
    <w:basedOn w:val="982"/>
    <w:next w:val="982"/>
    <w:link w:val="982"/>
    <w:semiHidden/>
    <w:pPr>
      <w:ind w:left="1470"/>
      <w:jc w:val="left"/>
    </w:pPr>
  </w:style>
  <w:style w:type="paragraph" w:styleId="1024">
    <w:name w:val="日期"/>
    <w:basedOn w:val="982"/>
    <w:next w:val="982"/>
    <w:link w:val="1025"/>
    <w:rPr>
      <w:sz w:val="24"/>
      <w:szCs w:val="24"/>
    </w:rPr>
  </w:style>
  <w:style w:type="character" w:styleId="1025">
    <w:name w:val="日期 字符"/>
    <w:next w:val="1025"/>
    <w:link w:val="1024"/>
    <w:rPr>
      <w:rFonts w:ascii="Times New Roman" w:hAnsi="Times New Roman" w:eastAsia="宋体" w:cs="Times New Roman"/>
      <w:sz w:val="24"/>
      <w:szCs w:val="24"/>
    </w:rPr>
  </w:style>
  <w:style w:type="paragraph" w:styleId="1026">
    <w:name w:val="正文文本缩进 2"/>
    <w:basedOn w:val="982"/>
    <w:next w:val="1026"/>
    <w:link w:val="1027"/>
    <w:pPr>
      <w:ind w:left="630" w:firstLine="645"/>
    </w:pPr>
    <w:rPr>
      <w:rFonts w:ascii="Arial" w:hAnsi="Arial" w:eastAsia="仿宋_GB2312" w:cs="Arial"/>
      <w:sz w:val="32"/>
      <w:szCs w:val="32"/>
    </w:rPr>
  </w:style>
  <w:style w:type="character" w:styleId="1027">
    <w:name w:val="正文文本缩进 2 字符"/>
    <w:next w:val="1027"/>
    <w:link w:val="1026"/>
    <w:rPr>
      <w:rFonts w:ascii="Arial" w:hAnsi="Arial" w:eastAsia="仿宋_GB2312" w:cs="Arial"/>
      <w:sz w:val="32"/>
      <w:szCs w:val="32"/>
    </w:rPr>
  </w:style>
  <w:style w:type="paragraph" w:styleId="1028">
    <w:name w:val="批注框文本"/>
    <w:basedOn w:val="982"/>
    <w:next w:val="1028"/>
    <w:link w:val="1029"/>
    <w:semiHidden/>
    <w:rPr>
      <w:sz w:val="18"/>
      <w:szCs w:val="18"/>
    </w:rPr>
  </w:style>
  <w:style w:type="character" w:styleId="1029">
    <w:name w:val="批注框文本 字符"/>
    <w:next w:val="1029"/>
    <w:link w:val="1028"/>
    <w:semiHidden/>
    <w:rPr>
      <w:rFonts w:ascii="Times New Roman" w:hAnsi="Times New Roman" w:eastAsia="宋体" w:cs="Times New Roman"/>
      <w:sz w:val="18"/>
      <w:szCs w:val="18"/>
    </w:rPr>
  </w:style>
  <w:style w:type="paragraph" w:styleId="1030">
    <w:name w:val="页脚"/>
    <w:basedOn w:val="982"/>
    <w:next w:val="1030"/>
    <w:link w:val="1031"/>
    <w:uiPriority w:val="99"/>
    <w:pPr>
      <w:jc w:val="left"/>
      <w:tabs>
        <w:tab w:val="center" w:pos="4153" w:leader="none"/>
        <w:tab w:val="right" w:pos="8306" w:leader="none"/>
      </w:tabs>
    </w:pPr>
    <w:rPr>
      <w:sz w:val="18"/>
      <w:szCs w:val="18"/>
    </w:rPr>
  </w:style>
  <w:style w:type="character" w:styleId="1031">
    <w:name w:val="页脚 字符"/>
    <w:next w:val="1031"/>
    <w:link w:val="1030"/>
    <w:uiPriority w:val="99"/>
    <w:rPr>
      <w:rFonts w:ascii="Times New Roman" w:hAnsi="Times New Roman" w:eastAsia="宋体" w:cs="Times New Roman"/>
      <w:sz w:val="18"/>
      <w:szCs w:val="18"/>
    </w:rPr>
  </w:style>
  <w:style w:type="paragraph" w:styleId="1032">
    <w:name w:val="页眉"/>
    <w:basedOn w:val="982"/>
    <w:next w:val="1032"/>
    <w:link w:val="1033"/>
    <w:pPr>
      <w:jc w:val="center"/>
      <w:tabs>
        <w:tab w:val="center" w:pos="4153" w:leader="none"/>
        <w:tab w:val="right" w:pos="8306" w:leader="none"/>
      </w:tabs>
      <w:pBdr>
        <w:bottom w:val="single" w:color="000000" w:sz="6" w:space="1"/>
      </w:pBdr>
    </w:pPr>
    <w:rPr>
      <w:sz w:val="18"/>
      <w:szCs w:val="18"/>
    </w:rPr>
  </w:style>
  <w:style w:type="character" w:styleId="1033">
    <w:name w:val="页眉 字符"/>
    <w:next w:val="1033"/>
    <w:link w:val="1032"/>
    <w:rPr>
      <w:rFonts w:ascii="Times New Roman" w:hAnsi="Times New Roman" w:eastAsia="宋体" w:cs="Times New Roman"/>
      <w:sz w:val="18"/>
      <w:szCs w:val="18"/>
    </w:rPr>
  </w:style>
  <w:style w:type="paragraph" w:styleId="1034">
    <w:name w:val="toc 1"/>
    <w:basedOn w:val="982"/>
    <w:next w:val="982"/>
    <w:link w:val="982"/>
    <w:uiPriority w:val="39"/>
    <w:pPr>
      <w:jc w:val="left"/>
      <w:spacing w:before="120" w:after="120" w:line="400" w:lineRule="exact"/>
      <w:tabs>
        <w:tab w:val="right" w:pos="8720" w:leader="dot"/>
      </w:tabs>
    </w:pPr>
    <w:rPr>
      <w:rFonts w:ascii="宋体" w:hAnsi="宋体"/>
      <w:caps/>
      <w:sz w:val="24"/>
      <w:szCs w:val="24"/>
    </w:rPr>
  </w:style>
  <w:style w:type="paragraph" w:styleId="1035">
    <w:name w:val="toc 4"/>
    <w:basedOn w:val="982"/>
    <w:next w:val="982"/>
    <w:link w:val="982"/>
    <w:semiHidden/>
    <w:pPr>
      <w:ind w:left="630"/>
      <w:jc w:val="left"/>
    </w:pPr>
  </w:style>
  <w:style w:type="paragraph" w:styleId="1036">
    <w:name w:val="列表"/>
    <w:basedOn w:val="982"/>
    <w:next w:val="1036"/>
    <w:link w:val="982"/>
    <w:pPr>
      <w:ind w:left="200" w:hanging="200"/>
    </w:pPr>
  </w:style>
  <w:style w:type="paragraph" w:styleId="1037">
    <w:name w:val="toc 6"/>
    <w:basedOn w:val="982"/>
    <w:next w:val="982"/>
    <w:link w:val="982"/>
    <w:semiHidden/>
    <w:pPr>
      <w:ind w:left="1050"/>
      <w:jc w:val="left"/>
    </w:pPr>
  </w:style>
  <w:style w:type="paragraph" w:styleId="1038">
    <w:name w:val="正文文本缩进 3"/>
    <w:basedOn w:val="982"/>
    <w:next w:val="1038"/>
    <w:link w:val="1039"/>
    <w:pPr>
      <w:ind w:left="645" w:firstLine="645"/>
    </w:pPr>
    <w:rPr>
      <w:rFonts w:ascii="Arial" w:hAnsi="Arial" w:eastAsia="仿宋_GB2312" w:cs="Arial"/>
      <w:color w:val="ffff00"/>
      <w:sz w:val="32"/>
      <w:szCs w:val="32"/>
    </w:rPr>
  </w:style>
  <w:style w:type="character" w:styleId="1039">
    <w:name w:val="正文文本缩进 3 字符"/>
    <w:next w:val="1039"/>
    <w:link w:val="1038"/>
    <w:rPr>
      <w:rFonts w:ascii="Arial" w:hAnsi="Arial" w:eastAsia="仿宋_GB2312" w:cs="Arial"/>
      <w:color w:val="ffff00"/>
      <w:sz w:val="32"/>
      <w:szCs w:val="32"/>
    </w:rPr>
  </w:style>
  <w:style w:type="paragraph" w:styleId="1040">
    <w:name w:val="图表目录"/>
    <w:basedOn w:val="982"/>
    <w:next w:val="982"/>
    <w:link w:val="982"/>
    <w:semiHidden/>
    <w:pPr>
      <w:ind w:left="840" w:hanging="420"/>
    </w:pPr>
  </w:style>
  <w:style w:type="paragraph" w:styleId="1041">
    <w:name w:val="toc 2"/>
    <w:basedOn w:val="982"/>
    <w:next w:val="982"/>
    <w:link w:val="982"/>
    <w:semiHidden/>
    <w:pPr>
      <w:ind w:left="210"/>
      <w:jc w:val="left"/>
    </w:pPr>
    <w:rPr>
      <w:smallCaps/>
      <w:szCs w:val="24"/>
    </w:rPr>
  </w:style>
  <w:style w:type="paragraph" w:styleId="1042">
    <w:name w:val="toc 9"/>
    <w:basedOn w:val="982"/>
    <w:next w:val="982"/>
    <w:link w:val="982"/>
    <w:semiHidden/>
    <w:pPr>
      <w:ind w:left="1680"/>
      <w:jc w:val="left"/>
    </w:pPr>
  </w:style>
  <w:style w:type="paragraph" w:styleId="1043">
    <w:name w:val="正文文本 2"/>
    <w:basedOn w:val="982"/>
    <w:next w:val="1043"/>
    <w:link w:val="1044"/>
    <w:pPr>
      <w:jc w:val="center"/>
      <w:widowControl/>
    </w:pPr>
    <w:rPr>
      <w:rFonts w:ascii="楷体_GB2312" w:eastAsia="楷体_GB2312"/>
      <w:sz w:val="28"/>
      <w:szCs w:val="28"/>
    </w:rPr>
  </w:style>
  <w:style w:type="character" w:styleId="1044">
    <w:name w:val="正文文本 2 字符"/>
    <w:next w:val="1044"/>
    <w:link w:val="1043"/>
    <w:rPr>
      <w:rFonts w:ascii="楷体_GB2312" w:hAnsi="Times New Roman" w:eastAsia="楷体_GB2312" w:cs="Times New Roman"/>
      <w:sz w:val="28"/>
      <w:szCs w:val="28"/>
    </w:rPr>
  </w:style>
  <w:style w:type="paragraph" w:styleId="1045">
    <w:name w:val="普通(网站)"/>
    <w:basedOn w:val="982"/>
    <w:next w:val="1045"/>
    <w:link w:val="982"/>
    <w:uiPriority w:val="99"/>
    <w:pPr>
      <w:jc w:val="left"/>
      <w:spacing w:before="100" w:beforeAutospacing="1" w:after="100" w:afterAutospacing="1"/>
      <w:widowControl/>
    </w:pPr>
    <w:rPr>
      <w:rFonts w:ascii="宋体" w:hAnsi="宋体" w:cs="宋体"/>
      <w:sz w:val="24"/>
      <w:szCs w:val="24"/>
    </w:rPr>
  </w:style>
  <w:style w:type="paragraph" w:styleId="1046">
    <w:name w:val="索引 1"/>
    <w:basedOn w:val="982"/>
    <w:next w:val="982"/>
    <w:link w:val="982"/>
    <w:semiHidden/>
    <w:pPr>
      <w:spacing w:line="240" w:lineRule="atLeast"/>
    </w:pPr>
    <w:rPr>
      <w:b/>
      <w:bCs/>
    </w:rPr>
  </w:style>
  <w:style w:type="paragraph" w:styleId="1047">
    <w:name w:val="标题"/>
    <w:basedOn w:val="982"/>
    <w:next w:val="982"/>
    <w:link w:val="1048"/>
    <w:uiPriority w:val="10"/>
    <w:qFormat/>
    <w:pPr>
      <w:jc w:val="center"/>
      <w:spacing w:before="240" w:after="60"/>
      <w:outlineLvl w:val="0"/>
    </w:pPr>
    <w:rPr>
      <w:rFonts w:ascii="Cambria" w:hAnsi="Cambria" w:cs="Times New Roman"/>
      <w:b/>
      <w:bCs/>
      <w:sz w:val="32"/>
      <w:szCs w:val="32"/>
    </w:rPr>
  </w:style>
  <w:style w:type="character" w:styleId="1048">
    <w:name w:val="标题 字符"/>
    <w:next w:val="1048"/>
    <w:link w:val="1047"/>
    <w:uiPriority w:val="10"/>
    <w:rPr>
      <w:rFonts w:ascii="Cambria" w:hAnsi="Cambria" w:cs="Times New Roman"/>
      <w:b/>
      <w:bCs/>
      <w:sz w:val="32"/>
      <w:szCs w:val="32"/>
    </w:rPr>
  </w:style>
  <w:style w:type="paragraph" w:styleId="1049">
    <w:name w:val="批注主题"/>
    <w:basedOn w:val="1012"/>
    <w:next w:val="1012"/>
    <w:link w:val="1050"/>
    <w:semiHidden/>
    <w:rPr>
      <w:b/>
      <w:bCs/>
    </w:rPr>
  </w:style>
  <w:style w:type="character" w:styleId="1050">
    <w:name w:val="批注主题 字符"/>
    <w:next w:val="1050"/>
    <w:link w:val="1049"/>
    <w:semiHidden/>
    <w:rPr>
      <w:rFonts w:ascii="Times New Roman" w:hAnsi="Times New Roman" w:eastAsia="宋体" w:cs="Times New Roman"/>
      <w:b/>
      <w:bCs/>
      <w:szCs w:val="21"/>
    </w:rPr>
  </w:style>
  <w:style w:type="paragraph" w:styleId="1051">
    <w:name w:val="正文文本首行缩进"/>
    <w:basedOn w:val="982"/>
    <w:next w:val="1051"/>
    <w:link w:val="1052"/>
    <w:pPr>
      <w:ind w:firstLine="200"/>
      <w:spacing w:line="360" w:lineRule="auto"/>
    </w:pPr>
    <w:rPr>
      <w:rFonts w:ascii="仿宋_GB2312" w:eastAsia="仿宋_GB2312"/>
      <w:sz w:val="30"/>
      <w:szCs w:val="30"/>
    </w:rPr>
  </w:style>
  <w:style w:type="character" w:styleId="1052">
    <w:name w:val="正文文本首行缩进 字符"/>
    <w:next w:val="1052"/>
    <w:link w:val="1051"/>
    <w:rPr>
      <w:rFonts w:ascii="仿宋_GB2312" w:hAnsi="Times New Roman" w:eastAsia="仿宋_GB2312" w:cs="Times New Roman"/>
      <w:sz w:val="30"/>
      <w:szCs w:val="30"/>
    </w:rPr>
  </w:style>
  <w:style w:type="paragraph" w:styleId="1053">
    <w:name w:val="正文文本首行缩进 2"/>
    <w:basedOn w:val="1018"/>
    <w:next w:val="1053"/>
    <w:link w:val="1054"/>
    <w:pPr>
      <w:ind w:firstLine="420"/>
      <w:spacing w:line="360" w:lineRule="auto"/>
    </w:pPr>
    <w:rPr>
      <w:rFonts w:ascii="宋体" w:hAnsi="宋体" w:eastAsia="宋体"/>
      <w:sz w:val="21"/>
      <w:szCs w:val="20"/>
    </w:rPr>
  </w:style>
  <w:style w:type="character" w:styleId="1054">
    <w:name w:val="正文文本首行缩进 2 字符"/>
    <w:next w:val="1054"/>
    <w:link w:val="1053"/>
    <w:rPr>
      <w:rFonts w:ascii="宋体" w:hAnsi="宋体" w:eastAsia="宋体" w:cs="Times New Roman"/>
      <w:sz w:val="32"/>
      <w:szCs w:val="20"/>
    </w:rPr>
  </w:style>
  <w:style w:type="table" w:styleId="1055">
    <w:name w:val="网格型"/>
    <w:basedOn w:val="993"/>
    <w:next w:val="1055"/>
    <w:link w:val="982"/>
    <w:pPr>
      <w:jc w:val="both"/>
      <w:widowControl w:val="off"/>
    </w:pPr>
    <w:rPr>
      <w:rFonts w:ascii="Times New Roman" w:hAnsi="Times New Roman" w:eastAsia="宋体" w:cs="Times New Roman"/>
      <w:sz w:val="20"/>
      <w:szCs w:val="20"/>
    </w:rPr>
    <w:tblPr/>
  </w:style>
  <w:style w:type="character" w:styleId="1056">
    <w:name w:val="要点"/>
    <w:next w:val="1056"/>
    <w:link w:val="982"/>
    <w:qFormat/>
    <w:rPr>
      <w:b/>
      <w:bCs/>
    </w:rPr>
  </w:style>
  <w:style w:type="character" w:styleId="1057">
    <w:name w:val="页码"/>
    <w:next w:val="1057"/>
    <w:link w:val="982"/>
  </w:style>
  <w:style w:type="character" w:styleId="1058">
    <w:name w:val="访问过的超链接"/>
    <w:next w:val="1058"/>
    <w:link w:val="982"/>
    <w:rPr>
      <w:color w:val="800080"/>
      <w:u w:val="single"/>
    </w:rPr>
  </w:style>
  <w:style w:type="character" w:styleId="1059">
    <w:name w:val="超链接"/>
    <w:next w:val="1059"/>
    <w:link w:val="982"/>
    <w:uiPriority w:val="99"/>
    <w:rPr>
      <w:color w:val="0000ff"/>
      <w:u w:val="single"/>
    </w:rPr>
  </w:style>
  <w:style w:type="character" w:styleId="1060">
    <w:name w:val="批注引用"/>
    <w:next w:val="1060"/>
    <w:link w:val="982"/>
    <w:qFormat/>
    <w:rPr>
      <w:sz w:val="21"/>
      <w:szCs w:val="21"/>
    </w:rPr>
  </w:style>
  <w:style w:type="character" w:styleId="1061">
    <w:name w:val="font5 Char"/>
    <w:next w:val="1061"/>
    <w:link w:val="982"/>
    <w:rPr>
      <w:rFonts w:ascii="宋体" w:hAnsi="宋体" w:eastAsia="宋体"/>
      <w:sz w:val="28"/>
      <w:szCs w:val="28"/>
      <w:lang w:val="en-US" w:eastAsia="zh-CN" w:bidi="ar-SA"/>
    </w:rPr>
  </w:style>
  <w:style w:type="character" w:styleId="1062">
    <w:name w:val="二级目录 Char"/>
    <w:next w:val="1062"/>
    <w:link w:val="1063"/>
    <w:rPr>
      <w:b/>
      <w:sz w:val="30"/>
      <w:szCs w:val="28"/>
    </w:rPr>
  </w:style>
  <w:style w:type="paragraph" w:styleId="1063">
    <w:name w:val="二级目录"/>
    <w:next w:val="982"/>
    <w:link w:val="1062"/>
    <w:pPr>
      <w:numPr>
        <w:ilvl w:val="0"/>
        <w:numId w:val="2"/>
      </w:numPr>
      <w:tabs>
        <w:tab w:val="left" w:pos="907" w:leader="none"/>
        <w:tab w:val="left" w:pos="1145" w:leader="none"/>
      </w:tabs>
      <w:outlineLvl w:val="1"/>
    </w:pPr>
    <w:rPr>
      <w:b/>
      <w:sz w:val="30"/>
      <w:szCs w:val="28"/>
      <w:lang w:val="en-US" w:eastAsia="zh-CN" w:bidi="ar-SA"/>
    </w:rPr>
  </w:style>
  <w:style w:type="character" w:styleId="1064">
    <w:name w:val="列出段落 Char,Bullet List Char,numbered Char,FooterText Char,List Paragraph1 Char,Paragraphe de liste1 Char"/>
    <w:next w:val="1064"/>
    <w:link w:val="1065"/>
    <w:rPr>
      <w:rFonts w:ascii="Calibri" w:hAnsi="Calibri"/>
      <w:sz w:val="24"/>
      <w:szCs w:val="24"/>
      <w:lang w:eastAsia="en-US" w:bidi="en-US"/>
    </w:rPr>
  </w:style>
  <w:style w:type="paragraph" w:styleId="1065">
    <w:name w:val="列出段落1"/>
    <w:basedOn w:val="982"/>
    <w:next w:val="1065"/>
    <w:link w:val="1064"/>
    <w:qFormat/>
    <w:pPr>
      <w:contextualSpacing/>
      <w:ind w:left="720"/>
      <w:jc w:val="left"/>
      <w:widowControl/>
    </w:pPr>
    <w:rPr>
      <w:rFonts w:ascii="Calibri" w:hAnsi="Calibri" w:eastAsia="宋体" w:cs="Times New Roman"/>
      <w:sz w:val="24"/>
      <w:szCs w:val="24"/>
      <w:lang w:eastAsia="en-US" w:bidi="en-US"/>
    </w:rPr>
  </w:style>
  <w:style w:type="paragraph" w:styleId="1066">
    <w:name w:val="Body Text(ch)"/>
    <w:basedOn w:val="982"/>
    <w:next w:val="1016"/>
    <w:link w:val="982"/>
    <w:pPr>
      <w:spacing w:after="120"/>
    </w:pPr>
    <w:rPr>
      <w:rFonts w:ascii="宋体" w:hAnsi="Arial"/>
      <w:bCs/>
      <w:iCs/>
      <w:szCs w:val="24"/>
    </w:rPr>
  </w:style>
  <w:style w:type="paragraph" w:styleId="1067">
    <w:name w:val="xl27"/>
    <w:basedOn w:val="982"/>
    <w:next w:val="1067"/>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xl26"/>
    <w:basedOn w:val="982"/>
    <w:next w:val="1068"/>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9">
    <w:name w:val="Char"/>
    <w:basedOn w:val="982"/>
    <w:next w:val="1069"/>
    <w:link w:val="982"/>
    <w:pPr>
      <w:ind w:firstLine="200"/>
      <w:tabs>
        <w:tab w:val="left" w:pos="360" w:leader="none"/>
      </w:tabs>
    </w:pPr>
    <w:rPr>
      <w:sz w:val="28"/>
      <w:szCs w:val="30"/>
    </w:rPr>
  </w:style>
  <w:style w:type="paragraph" w:styleId="1070">
    <w:name w:val=" Char"/>
    <w:basedOn w:val="1010"/>
    <w:next w:val="1070"/>
    <w:link w:val="982"/>
    <w:rPr>
      <w:rFonts w:ascii="Tahoma" w:hAnsi="Tahoma"/>
      <w:sz w:val="24"/>
      <w:szCs w:val="24"/>
    </w:rPr>
  </w:style>
  <w:style w:type="paragraph" w:styleId="1071">
    <w:name w:val="普通正文"/>
    <w:basedOn w:val="982"/>
    <w:next w:val="1071"/>
    <w:link w:val="982"/>
    <w:pPr>
      <w:ind w:firstLine="480"/>
      <w:jc w:val="left"/>
      <w:spacing w:before="120" w:after="120" w:line="360" w:lineRule="auto"/>
    </w:pPr>
    <w:rPr>
      <w:rFonts w:ascii="Arial" w:hAnsi="Arial"/>
      <w:sz w:val="24"/>
      <w:szCs w:val="24"/>
    </w:rPr>
  </w:style>
  <w:style w:type="paragraph" w:styleId="1072">
    <w:name w:val="table_lines"/>
    <w:basedOn w:val="982"/>
    <w:next w:val="1072"/>
    <w:link w:val="982"/>
    <w:pPr>
      <w:jc w:val="left"/>
      <w:widowControl/>
    </w:pPr>
    <w:rPr>
      <w:sz w:val="20"/>
      <w:szCs w:val="20"/>
      <w:lang w:val="de-DE" w:eastAsia="de-DE"/>
    </w:rPr>
  </w:style>
  <w:style w:type="paragraph" w:styleId="1073">
    <w:name w:val="附录1"/>
    <w:next w:val="1073"/>
    <w:link w:val="9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4">
    <w:name w:val="font7"/>
    <w:basedOn w:val="982"/>
    <w:next w:val="1074"/>
    <w:link w:val="982"/>
    <w:pPr>
      <w:jc w:val="left"/>
      <w:spacing w:before="100" w:beforeAutospacing="1" w:after="100" w:afterAutospacing="1"/>
      <w:widowControl/>
    </w:pPr>
    <w:rPr>
      <w:rFonts w:hint="eastAsia" w:ascii="宋体" w:hAnsi="宋体"/>
      <w:sz w:val="18"/>
      <w:szCs w:val="18"/>
    </w:rPr>
  </w:style>
  <w:style w:type="paragraph" w:styleId="1075">
    <w:name w:val=" Char Char Char Char"/>
    <w:basedOn w:val="1010"/>
    <w:next w:val="1075"/>
    <w:link w:val="982"/>
    <w:pPr>
      <w:spacing w:line="360" w:lineRule="auto"/>
    </w:pPr>
    <w:rPr>
      <w:rFonts w:ascii="Tahoma" w:hAnsi="Tahoma"/>
      <w:sz w:val="24"/>
      <w:szCs w:val="24"/>
    </w:rPr>
  </w:style>
  <w:style w:type="paragraph" w:styleId="1076">
    <w:name w:val="列表段落"/>
    <w:basedOn w:val="982"/>
    <w:next w:val="1076"/>
    <w:link w:val="1077"/>
    <w:uiPriority w:val="34"/>
    <w:qFormat/>
    <w:pPr>
      <w:contextualSpacing/>
      <w:ind w:left="720"/>
      <w:jc w:val="left"/>
      <w:widowControl/>
    </w:pPr>
    <w:rPr>
      <w:rFonts w:ascii="Calibri" w:hAnsi="Calibri"/>
      <w:sz w:val="24"/>
      <w:szCs w:val="24"/>
      <w:lang w:eastAsia="en-US" w:bidi="en-US"/>
    </w:rPr>
  </w:style>
  <w:style w:type="character" w:styleId="1077">
    <w:name w:val="列表段落 字符"/>
    <w:next w:val="1077"/>
    <w:link w:val="1076"/>
    <w:uiPriority w:val="34"/>
    <w:qFormat/>
    <w:rPr>
      <w:sz w:val="24"/>
      <w:szCs w:val="24"/>
      <w:lang w:eastAsia="en-US" w:bidi="en-US"/>
    </w:rPr>
  </w:style>
  <w:style w:type="paragraph" w:styleId="1078">
    <w:name w:val="4"/>
    <w:basedOn w:val="982"/>
    <w:next w:val="1038"/>
    <w:link w:val="982"/>
    <w:pPr>
      <w:ind w:firstLine="420"/>
      <w:spacing w:line="360" w:lineRule="auto"/>
    </w:pPr>
    <w:rPr>
      <w:color w:val="ff0000"/>
      <w:sz w:val="24"/>
      <w:szCs w:val="24"/>
    </w:rPr>
  </w:style>
  <w:style w:type="paragraph" w:styleId="1079">
    <w:name w:val="普通 (Web)"/>
    <w:basedOn w:val="982"/>
    <w:next w:val="1079"/>
    <w:link w:val="982"/>
    <w:pPr>
      <w:jc w:val="left"/>
      <w:spacing w:before="100" w:beforeAutospacing="1" w:after="100" w:afterAutospacing="1"/>
      <w:widowControl/>
    </w:pPr>
    <w:rPr>
      <w:rFonts w:ascii="宋体" w:hAnsi="宋体"/>
      <w:sz w:val="24"/>
      <w:szCs w:val="24"/>
    </w:rPr>
  </w:style>
  <w:style w:type="paragraph" w:styleId="1080">
    <w:name w:val=" Char Char Char Char Char Char Char Char Char Char"/>
    <w:basedOn w:val="982"/>
    <w:next w:val="1080"/>
    <w:link w:val="982"/>
    <w:pPr>
      <w:spacing w:line="360" w:lineRule="auto"/>
    </w:pPr>
    <w:rPr>
      <w:sz w:val="24"/>
      <w:szCs w:val="20"/>
    </w:rPr>
  </w:style>
  <w:style w:type="paragraph" w:styleId="1081">
    <w:name w:val="样式1"/>
    <w:basedOn w:val="982"/>
    <w:next w:val="1081"/>
    <w:link w:val="982"/>
    <w:pPr>
      <w:numPr>
        <w:ilvl w:val="0"/>
        <w:numId w:val="3"/>
      </w:numPr>
      <w:tabs>
        <w:tab w:val="left" w:pos="709" w:leader="none"/>
      </w:tabs>
    </w:pPr>
    <w:rPr>
      <w:rFonts w:ascii="宋体" w:hAnsi="宋体"/>
    </w:rPr>
  </w:style>
  <w:style w:type="paragraph" w:styleId="1082">
    <w:name w:val="font6"/>
    <w:basedOn w:val="982"/>
    <w:next w:val="1082"/>
    <w:link w:val="982"/>
    <w:pPr>
      <w:jc w:val="left"/>
      <w:spacing w:before="100" w:beforeAutospacing="1" w:after="100" w:afterAutospacing="1"/>
      <w:widowControl/>
    </w:pPr>
    <w:rPr>
      <w:rFonts w:hint="eastAsia" w:ascii="宋体" w:hAnsi="宋体"/>
      <w:sz w:val="28"/>
      <w:szCs w:val="28"/>
      <w:u w:val="single"/>
    </w:rPr>
  </w:style>
  <w:style w:type="paragraph" w:styleId="1083">
    <w:name w:val="xl25"/>
    <w:basedOn w:val="982"/>
    <w:next w:val="1083"/>
    <w:link w:val="9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name w:val="图标"/>
    <w:basedOn w:val="982"/>
    <w:next w:val="982"/>
    <w:link w:val="9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name w:val="标题3"/>
    <w:basedOn w:val="982"/>
    <w:next w:val="982"/>
    <w:link w:val="982"/>
    <w:pPr>
      <w:ind w:firstLine="624"/>
      <w:spacing w:line="590" w:lineRule="atLeast"/>
    </w:pPr>
    <w:rPr>
      <w:rFonts w:ascii="方正黑体_GBK" w:eastAsia="方正黑体_GBK"/>
      <w:sz w:val="32"/>
      <w:szCs w:val="32"/>
    </w:rPr>
  </w:style>
  <w:style w:type="paragraph" w:styleId="1086">
    <w:name w:val="xl24"/>
    <w:basedOn w:val="982"/>
    <w:next w:val="1086"/>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9"/>
    <w:basedOn w:val="982"/>
    <w:next w:val="1087"/>
    <w:link w:val="9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name w:val="Char Char Char Char Char Char Char Char"/>
    <w:basedOn w:val="982"/>
    <w:next w:val="1088"/>
    <w:link w:val="982"/>
    <w:pPr>
      <w:jc w:val="left"/>
      <w:spacing w:after="160" w:line="240" w:lineRule="exact"/>
      <w:widowControl/>
    </w:pPr>
    <w:rPr>
      <w:rFonts w:ascii="Verdana" w:hAnsi="Verdana"/>
      <w:sz w:val="20"/>
      <w:szCs w:val="20"/>
      <w:lang w:eastAsia="en-US"/>
    </w:rPr>
  </w:style>
  <w:style w:type="paragraph" w:styleId="1089">
    <w:name w:val="xl28"/>
    <w:basedOn w:val="982"/>
    <w:next w:val="1089"/>
    <w:link w:val="9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0">
    <w:name w:val=" Char Char Char Char Char Char Char Char"/>
    <w:basedOn w:val="982"/>
    <w:next w:val="1090"/>
    <w:link w:val="982"/>
    <w:pPr>
      <w:jc w:val="left"/>
      <w:spacing w:after="160" w:line="240" w:lineRule="exact"/>
      <w:widowControl/>
    </w:pPr>
    <w:rPr>
      <w:rFonts w:ascii="Verdana" w:hAnsi="Verdana"/>
      <w:sz w:val="20"/>
      <w:szCs w:val="20"/>
      <w:lang w:eastAsia="en-US"/>
    </w:rPr>
  </w:style>
  <w:style w:type="paragraph" w:styleId="1091">
    <w:name w:val="xl30"/>
    <w:basedOn w:val="982"/>
    <w:next w:val="1091"/>
    <w:link w:val="982"/>
    <w:pPr>
      <w:jc w:val="center"/>
      <w:spacing w:before="100" w:beforeAutospacing="1" w:after="100" w:afterAutospacing="1"/>
      <w:widowControl/>
    </w:pPr>
    <w:rPr>
      <w:rFonts w:ascii="宋体" w:hAnsi="宋体"/>
      <w:b/>
      <w:bCs/>
      <w:sz w:val="36"/>
      <w:szCs w:val="36"/>
    </w:rPr>
  </w:style>
  <w:style w:type="paragraph" w:styleId="1092">
    <w:name w:val="Char Char Char Char"/>
    <w:basedOn w:val="1010"/>
    <w:next w:val="1092"/>
    <w:link w:val="982"/>
    <w:pPr>
      <w:spacing w:line="360" w:lineRule="auto"/>
    </w:pPr>
    <w:rPr>
      <w:rFonts w:ascii="Tahoma" w:hAnsi="Tahoma"/>
      <w:sz w:val="24"/>
      <w:szCs w:val="24"/>
    </w:rPr>
  </w:style>
  <w:style w:type="paragraph" w:styleId="1093">
    <w:name w:val="table_1stline"/>
    <w:basedOn w:val="982"/>
    <w:next w:val="1093"/>
    <w:link w:val="982"/>
    <w:pPr>
      <w:jc w:val="left"/>
      <w:spacing w:before="120"/>
      <w:widowControl/>
    </w:pPr>
    <w:rPr>
      <w:bCs/>
      <w:sz w:val="20"/>
      <w:szCs w:val="20"/>
      <w:lang w:val="de-DE" w:eastAsia="de-DE"/>
    </w:rPr>
  </w:style>
  <w:style w:type="paragraph" w:styleId="1094">
    <w:name w:val="font5"/>
    <w:basedOn w:val="982"/>
    <w:next w:val="1094"/>
    <w:link w:val="982"/>
    <w:pPr>
      <w:jc w:val="left"/>
      <w:spacing w:before="100" w:beforeAutospacing="1" w:after="100" w:afterAutospacing="1"/>
      <w:widowControl/>
    </w:pPr>
    <w:rPr>
      <w:rFonts w:hint="eastAsia" w:ascii="宋体" w:hAnsi="宋体"/>
      <w:sz w:val="28"/>
      <w:szCs w:val="28"/>
    </w:rPr>
  </w:style>
  <w:style w:type="paragraph" w:styleId="1095">
    <w:name w:val="标题1"/>
    <w:basedOn w:val="982"/>
    <w:next w:val="982"/>
    <w:link w:val="98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name w:val="修订"/>
    <w:next w:val="1096"/>
    <w:link w:val="982"/>
    <w:uiPriority w:val="99"/>
    <w:semiHidden/>
    <w:rPr>
      <w:rFonts w:ascii="Times New Roman" w:hAnsi="Times New Roman"/>
      <w:sz w:val="21"/>
      <w:szCs w:val="21"/>
      <w:lang w:val="en-US" w:eastAsia="zh-CN" w:bidi="ar-SA"/>
    </w:rPr>
  </w:style>
  <w:style w:type="paragraph" w:styleId="1097">
    <w:name w:val="无间隔"/>
    <w:next w:val="1097"/>
    <w:link w:val="982"/>
    <w:uiPriority w:val="99"/>
    <w:qFormat/>
    <w:pPr>
      <w:jc w:val="both"/>
      <w:widowControl w:val="off"/>
    </w:pPr>
    <w:rPr>
      <w:rFonts w:ascii="Times New Roman" w:hAnsi="Times New Roman"/>
      <w:sz w:val="21"/>
      <w:szCs w:val="21"/>
      <w:lang w:val="en-US" w:eastAsia="zh-CN" w:bidi="ar-SA"/>
    </w:rPr>
  </w:style>
  <w:style w:type="character" w:styleId="1098">
    <w:name w:val="font21"/>
    <w:next w:val="1098"/>
    <w:link w:val="982"/>
    <w:qFormat/>
    <w:rPr>
      <w:rFonts w:hint="eastAsia" w:ascii="宋体" w:hAnsi="宋体" w:eastAsia="宋体" w:cs="宋体"/>
      <w:b/>
      <w:bCs/>
      <w:color w:val="000000"/>
      <w:sz w:val="20"/>
      <w:szCs w:val="20"/>
      <w:u w:val="none"/>
    </w:rPr>
  </w:style>
  <w:style w:type="character" w:styleId="1099">
    <w:name w:val="font11"/>
    <w:next w:val="1099"/>
    <w:link w:val="982"/>
    <w:qFormat/>
    <w:rPr>
      <w:rFonts w:hint="eastAsia" w:ascii="等线" w:hAnsi="等线" w:eastAsia="等线" w:cs="等线"/>
      <w:b/>
      <w:bCs/>
      <w:color w:val="000000"/>
      <w:sz w:val="20"/>
      <w:szCs w:val="20"/>
      <w:u w:val="none"/>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8</cp:revision>
  <dcterms:created xsi:type="dcterms:W3CDTF">2025-11-24T07:18:00Z</dcterms:created>
  <dcterms:modified xsi:type="dcterms:W3CDTF">2025-11-25T02:31:52Z</dcterms:modified>
  <cp:version>1048576</cp:version>
</cp:coreProperties>
</file>